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A7A0" w14:textId="77777777" w:rsidR="004C29CA" w:rsidRPr="007A0D8E" w:rsidRDefault="004C29CA" w:rsidP="0000790C">
      <w:pPr>
        <w:ind w:right="-35"/>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0148901B"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E61587">
        <w:rPr>
          <w:rFonts w:ascii="Bookman Old Style" w:hAnsi="Bookman Old Style" w:cs="Arial"/>
          <w:b/>
          <w:i/>
          <w:iCs/>
          <w:sz w:val="28"/>
          <w:szCs w:val="28"/>
          <w:lang w:val="el-GR"/>
        </w:rPr>
        <w:t>8</w:t>
      </w:r>
      <w:r w:rsidR="008D27F9">
        <w:rPr>
          <w:rFonts w:ascii="Bookman Old Style" w:hAnsi="Bookman Old Style" w:cs="Arial"/>
          <w:b/>
          <w:i/>
          <w:iCs/>
          <w:sz w:val="28"/>
          <w:szCs w:val="28"/>
          <w:lang w:val="el-GR"/>
        </w:rPr>
        <w:t>5</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3F957853" w:rsidR="004C29CA" w:rsidRPr="00E61587"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E61587">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E61587">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E61587">
        <w:rPr>
          <w:rFonts w:ascii="Bookman Old Style" w:hAnsi="Bookman Old Style" w:cs="Arial"/>
          <w:b/>
          <w:bCs/>
          <w:i/>
          <w:iCs/>
          <w:sz w:val="28"/>
          <w:szCs w:val="28"/>
          <w:lang w:val="el-GR"/>
        </w:rPr>
        <w:t>)</w:t>
      </w:r>
    </w:p>
    <w:p w14:paraId="3168C780" w14:textId="77777777" w:rsidR="004C29CA" w:rsidRPr="00724C01" w:rsidRDefault="004C29CA" w:rsidP="0000790C">
      <w:pPr>
        <w:ind w:right="-35"/>
        <w:jc w:val="center"/>
        <w:rPr>
          <w:rFonts w:ascii="Bookman Old Style" w:hAnsi="Bookman Old Style" w:cs="Arial"/>
          <w:b/>
          <w:bCs/>
          <w:sz w:val="28"/>
          <w:szCs w:val="28"/>
          <w:lang w:val="el-GR"/>
        </w:rPr>
      </w:pPr>
    </w:p>
    <w:p w14:paraId="7E78F506" w14:textId="77777777" w:rsidR="001D57B8" w:rsidRDefault="001D57B8" w:rsidP="0000790C">
      <w:pPr>
        <w:ind w:right="-35"/>
        <w:jc w:val="center"/>
        <w:rPr>
          <w:rFonts w:ascii="Bookman Old Style" w:hAnsi="Bookman Old Style" w:cs="Arial"/>
          <w:b/>
          <w:sz w:val="28"/>
          <w:szCs w:val="28"/>
          <w:lang w:val="el-GR"/>
        </w:rPr>
      </w:pPr>
    </w:p>
    <w:p w14:paraId="1BBA4D20" w14:textId="12310AD3" w:rsidR="004C29CA" w:rsidRDefault="001D57B8"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15 </w:t>
      </w:r>
      <w:r w:rsidR="001B1B75">
        <w:rPr>
          <w:rFonts w:ascii="Bookman Old Style" w:hAnsi="Bookman Old Style" w:cs="Arial"/>
          <w:b/>
          <w:sz w:val="28"/>
          <w:szCs w:val="28"/>
          <w:lang w:val="el-GR"/>
        </w:rPr>
        <w:t>Ιανουαρίου,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E61587">
        <w:rPr>
          <w:rFonts w:ascii="Bookman Old Style" w:hAnsi="Bookman Old Style" w:cs="Arial"/>
          <w:b/>
          <w:sz w:val="28"/>
          <w:szCs w:val="28"/>
          <w:lang w:val="el-GR"/>
        </w:rPr>
        <w:t>4</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63BC314D"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1B1B75">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Pr="007A0D8E" w:rsidRDefault="004C29CA" w:rsidP="0000790C">
      <w:pPr>
        <w:ind w:right="-35"/>
        <w:rPr>
          <w:rFonts w:ascii="Bookman Old Style" w:hAnsi="Bookman Old Style" w:cs="Arial"/>
          <w:sz w:val="28"/>
          <w:szCs w:val="28"/>
          <w:u w:val="single"/>
          <w:lang w:val="el-GR"/>
        </w:rPr>
      </w:pPr>
    </w:p>
    <w:p w14:paraId="0D644073" w14:textId="77777777" w:rsidR="000C5E38" w:rsidRDefault="000C5E38" w:rsidP="000C5E38">
      <w:pPr>
        <w:pStyle w:val="Bodytext20"/>
        <w:shd w:val="clear" w:color="auto" w:fill="auto"/>
        <w:spacing w:before="0" w:line="276" w:lineRule="auto"/>
        <w:ind w:right="-35"/>
        <w:rPr>
          <w:rFonts w:ascii="Bookman Old Style" w:hAnsi="Bookman Old Style"/>
          <w:color w:val="000000"/>
          <w:sz w:val="28"/>
          <w:szCs w:val="28"/>
          <w:lang w:eastAsia="en-US"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5A0925F6" w14:textId="77777777" w:rsidR="000C5E38" w:rsidRDefault="000C5E38" w:rsidP="000C5E3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2C023253" w14:textId="77777777" w:rsidR="000C5E38" w:rsidRDefault="000C5E38" w:rsidP="000C5E3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6B515977" w14:textId="77777777" w:rsidR="000C5E38" w:rsidRDefault="000C5E38" w:rsidP="000C5E38">
      <w:pPr>
        <w:pStyle w:val="Bodytext20"/>
        <w:shd w:val="clear" w:color="auto" w:fill="auto"/>
        <w:spacing w:before="0" w:line="276" w:lineRule="auto"/>
        <w:ind w:right="-35"/>
        <w:jc w:val="center"/>
        <w:rPr>
          <w:rFonts w:ascii="Bookman Old Style" w:hAnsi="Bookman Old Style"/>
          <w:color w:val="000000"/>
          <w:sz w:val="28"/>
          <w:szCs w:val="28"/>
          <w:lang w:bidi="el-GR"/>
        </w:rPr>
      </w:pPr>
    </w:p>
    <w:p w14:paraId="2AE216BA" w14:textId="77777777" w:rsidR="000C5E38" w:rsidRPr="000C5E38" w:rsidRDefault="000C5E38" w:rsidP="000C5E3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ΤΟΥ ΓΕΝΙΚΟΥ ΕΙΣΑΓΓΕΛΕΑ ΤΗΣ ΔΗΜΟΚΡΑΤΙΑΣ ΓΙΑ ΕΓΚΡΙΣΗ ΑΔΕΙΑΣ ΓΙΑ ΕΚΔΟΣΗ ΠΡΟΝΟΜΙΑΚΟΥ ΕΝΤΑΛΜΑΤΟΣ ΤΗΣ ΦΥΣΕΩΣ </w:t>
      </w:r>
      <w:r>
        <w:rPr>
          <w:rFonts w:ascii="Bookman Old Style" w:hAnsi="Bookman Old Style"/>
          <w:color w:val="000000"/>
          <w:sz w:val="28"/>
          <w:szCs w:val="28"/>
          <w:lang w:val="en-US" w:bidi="el-GR"/>
        </w:rPr>
        <w:t>CERTIORARI</w:t>
      </w:r>
    </w:p>
    <w:p w14:paraId="3E8EB802" w14:textId="77777777" w:rsidR="000C5E38" w:rsidRPr="000C5E38" w:rsidRDefault="000C5E38" w:rsidP="000C5E38">
      <w:pPr>
        <w:pStyle w:val="Bodytext20"/>
        <w:shd w:val="clear" w:color="auto" w:fill="auto"/>
        <w:spacing w:before="0" w:line="276" w:lineRule="auto"/>
        <w:ind w:right="-35"/>
        <w:rPr>
          <w:rFonts w:ascii="Bookman Old Style" w:hAnsi="Bookman Old Style"/>
          <w:color w:val="000000"/>
          <w:sz w:val="28"/>
          <w:szCs w:val="28"/>
          <w:lang w:bidi="el-GR"/>
        </w:rPr>
      </w:pPr>
    </w:p>
    <w:p w14:paraId="043607C9" w14:textId="77777777" w:rsidR="000C5E38" w:rsidRDefault="000C5E38" w:rsidP="000C5E3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7D56271" w14:textId="77777777" w:rsidR="000C5E38" w:rsidRDefault="000C5E38" w:rsidP="000C5E38">
      <w:pPr>
        <w:pStyle w:val="Bodytext20"/>
        <w:shd w:val="clear" w:color="auto" w:fill="auto"/>
        <w:spacing w:before="0" w:line="276" w:lineRule="auto"/>
        <w:ind w:right="-35"/>
        <w:jc w:val="center"/>
        <w:rPr>
          <w:rFonts w:ascii="Bookman Old Style" w:hAnsi="Bookman Old Style"/>
          <w:color w:val="000000"/>
          <w:sz w:val="28"/>
          <w:szCs w:val="28"/>
          <w:lang w:bidi="el-GR"/>
        </w:rPr>
      </w:pPr>
    </w:p>
    <w:p w14:paraId="402E5A46" w14:textId="77777777" w:rsidR="000C5E38" w:rsidRDefault="000C5E38" w:rsidP="000C5E3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2023 (27/2023)</w:t>
      </w:r>
    </w:p>
    <w:p w14:paraId="4D4A055F" w14:textId="77777777" w:rsidR="000C5E38" w:rsidRDefault="000C5E38" w:rsidP="000C5E38">
      <w:pPr>
        <w:pStyle w:val="Bodytext20"/>
        <w:shd w:val="clear" w:color="auto" w:fill="auto"/>
        <w:spacing w:before="0" w:line="276" w:lineRule="auto"/>
        <w:ind w:right="-35"/>
        <w:jc w:val="center"/>
        <w:rPr>
          <w:rFonts w:ascii="Bookman Old Style" w:hAnsi="Bookman Old Style"/>
          <w:color w:val="000000"/>
          <w:sz w:val="28"/>
          <w:szCs w:val="28"/>
          <w:lang w:bidi="el-GR"/>
        </w:rPr>
      </w:pPr>
    </w:p>
    <w:p w14:paraId="2BBCF477" w14:textId="77777777" w:rsidR="000C5E38" w:rsidRDefault="000C5E38" w:rsidP="000C5E3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AFB42BD" w14:textId="77777777" w:rsidR="000C5E38" w:rsidRDefault="000C5E38" w:rsidP="000C5E38">
      <w:pPr>
        <w:pStyle w:val="Bodytext20"/>
        <w:shd w:val="clear" w:color="auto" w:fill="auto"/>
        <w:spacing w:before="0" w:line="276" w:lineRule="auto"/>
        <w:ind w:right="-35"/>
        <w:rPr>
          <w:rFonts w:ascii="Bookman Old Style" w:hAnsi="Bookman Old Style"/>
          <w:color w:val="000000"/>
          <w:sz w:val="28"/>
          <w:szCs w:val="28"/>
          <w:lang w:bidi="el-GR"/>
        </w:rPr>
      </w:pPr>
    </w:p>
    <w:p w14:paraId="643C0767" w14:textId="1514BE66" w:rsidR="000C5E38" w:rsidRDefault="000C5E38" w:rsidP="000C5E3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ΑΠΟΦΑΣΗ ΤΟΥ ΕΠΑΡΧΙΑΚΟΥ ΔΙΚΑΣΤΗΡΙΟΥ ΠΑΦΟΥ ΗΜΕΡ. 09/11/2023 ΓΙΑ ΤΗ ΜΗ ΕΚΔΟΣΗ ΕΝΤΑΛΜΑΤΟΣ ΕΡΕΥΝΑΣ ΤΗΣ ΟΙΚΙΑΣ, ΤΩΝ ΥΠΟΣΤΑΤΙΚΩΝ ΚΑΙ ΤΟΥ ΟΧΗΜΑΤΟΣ ΤΟΥ Κ</w:t>
      </w:r>
      <w:r w:rsidR="00613AAD" w:rsidRPr="00613AAD">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Μ</w:t>
      </w:r>
      <w:r w:rsidR="00613AAD" w:rsidRPr="00613AAD">
        <w:rPr>
          <w:rFonts w:ascii="Bookman Old Style" w:hAnsi="Bookman Old Style"/>
          <w:color w:val="000000"/>
          <w:sz w:val="28"/>
          <w:szCs w:val="28"/>
          <w:lang w:bidi="el-GR"/>
        </w:rPr>
        <w:t>.</w:t>
      </w:r>
      <w:r>
        <w:rPr>
          <w:rFonts w:ascii="Bookman Old Style" w:hAnsi="Bookman Old Style"/>
          <w:color w:val="000000"/>
          <w:sz w:val="28"/>
          <w:szCs w:val="28"/>
          <w:lang w:bidi="el-GR"/>
        </w:rPr>
        <w:t>.</w:t>
      </w:r>
    </w:p>
    <w:p w14:paraId="51E1F437" w14:textId="77777777" w:rsidR="00FA46CF" w:rsidRDefault="00FA46CF" w:rsidP="000C5E38">
      <w:pPr>
        <w:pStyle w:val="Bodytext20"/>
        <w:shd w:val="clear" w:color="auto" w:fill="auto"/>
        <w:spacing w:before="0" w:line="276" w:lineRule="auto"/>
        <w:ind w:right="-35"/>
        <w:rPr>
          <w:rFonts w:ascii="Bookman Old Style" w:hAnsi="Bookman Old Style"/>
          <w:color w:val="000000"/>
          <w:sz w:val="28"/>
          <w:szCs w:val="28"/>
          <w:lang w:bidi="el-GR"/>
        </w:rPr>
      </w:pPr>
    </w:p>
    <w:p w14:paraId="63F48E9F" w14:textId="1C2583C2" w:rsidR="001D57B8" w:rsidRPr="001D57B8" w:rsidRDefault="001D57B8" w:rsidP="000C5E38">
      <w:pPr>
        <w:pStyle w:val="Bodytext20"/>
        <w:shd w:val="clear" w:color="auto" w:fill="auto"/>
        <w:spacing w:before="0" w:line="276" w:lineRule="auto"/>
        <w:ind w:right="-35"/>
        <w:rPr>
          <w:rFonts w:ascii="Bookman Old Style" w:hAnsi="Bookman Old Style"/>
          <w:b/>
          <w:bCs/>
          <w:color w:val="000000"/>
          <w:sz w:val="28"/>
          <w:szCs w:val="28"/>
          <w:u w:val="double"/>
          <w:lang w:bidi="el-GR"/>
        </w:rPr>
      </w:pPr>
      <w:r>
        <w:rPr>
          <w:rFonts w:ascii="Bookman Old Style" w:hAnsi="Bookman Old Style"/>
          <w:b/>
          <w:bCs/>
          <w:color w:val="000000"/>
          <w:sz w:val="28"/>
          <w:szCs w:val="28"/>
          <w:u w:val="double"/>
          <w:lang w:bidi="el-GR"/>
        </w:rPr>
        <w:t>_____________________________________________________________________</w:t>
      </w:r>
    </w:p>
    <w:p w14:paraId="225E3645" w14:textId="5A4FD8C7" w:rsidR="004C29CA" w:rsidRDefault="0020249F" w:rsidP="0000790C">
      <w:pPr>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lastRenderedPageBreak/>
        <w:t>Θ. Παπακυριακού (κα)</w:t>
      </w:r>
      <w:r w:rsidR="004C29CA" w:rsidRPr="007A0D8E">
        <w:rPr>
          <w:rFonts w:ascii="Bookman Old Style" w:hAnsi="Bookman Old Style" w:cs="Arial"/>
          <w:i/>
          <w:iCs/>
          <w:sz w:val="28"/>
          <w:szCs w:val="28"/>
          <w:lang w:val="el-GR"/>
        </w:rPr>
        <w:t>,</w:t>
      </w:r>
      <w:r w:rsidR="00E35696">
        <w:rPr>
          <w:rFonts w:ascii="Bookman Old Style" w:hAnsi="Bookman Old Style" w:cs="Arial"/>
          <w:sz w:val="28"/>
          <w:szCs w:val="28"/>
          <w:lang w:val="el-GR"/>
        </w:rPr>
        <w:t xml:space="preserve"> Δικηγόρος της Δημοκρατίας, εκ μέρους του Γενικού Εισαγγελέα,</w:t>
      </w:r>
      <w:r w:rsidR="004C29CA" w:rsidRPr="007A0D8E">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sidR="008D492F">
        <w:rPr>
          <w:rFonts w:ascii="Bookman Old Style" w:hAnsi="Bookman Old Style" w:cs="Arial"/>
          <w:iCs/>
          <w:sz w:val="28"/>
          <w:szCs w:val="28"/>
          <w:lang w:val="el-GR"/>
        </w:rPr>
        <w:t xml:space="preserve">ν </w:t>
      </w:r>
      <w:r w:rsidR="004C29CA" w:rsidRPr="007A0D8E">
        <w:rPr>
          <w:rFonts w:ascii="Bookman Old Style" w:hAnsi="Bookman Old Style" w:cs="Arial"/>
          <w:iCs/>
          <w:sz w:val="28"/>
          <w:szCs w:val="28"/>
          <w:lang w:val="el-GR"/>
        </w:rPr>
        <w:t>Αιτητ</w:t>
      </w:r>
      <w:r w:rsidR="008D492F">
        <w:rPr>
          <w:rFonts w:ascii="Bookman Old Style" w:hAnsi="Bookman Old Style" w:cs="Arial"/>
          <w:iCs/>
          <w:sz w:val="28"/>
          <w:szCs w:val="28"/>
          <w:lang w:val="el-GR"/>
        </w:rPr>
        <w:t>ή.</w:t>
      </w:r>
    </w:p>
    <w:p w14:paraId="1354A878" w14:textId="77777777" w:rsidR="004C29CA" w:rsidRDefault="004C29CA" w:rsidP="0000790C">
      <w:pPr>
        <w:pBdr>
          <w:bottom w:val="single" w:sz="12" w:space="1" w:color="auto"/>
        </w:pBdr>
        <w:ind w:left="397" w:right="-35" w:hanging="113"/>
        <w:jc w:val="both"/>
        <w:rPr>
          <w:rFonts w:ascii="Bookman Old Style" w:hAnsi="Bookman Old Style" w:cs="Arial"/>
          <w:iCs/>
          <w:sz w:val="28"/>
          <w:szCs w:val="28"/>
          <w:lang w:val="el-GR"/>
        </w:rPr>
      </w:pPr>
    </w:p>
    <w:p w14:paraId="2C8FEC2E" w14:textId="77777777" w:rsidR="001B1B75" w:rsidRPr="00627467" w:rsidRDefault="001B1B75" w:rsidP="0000790C">
      <w:pPr>
        <w:spacing w:line="360" w:lineRule="auto"/>
        <w:ind w:right="-35"/>
        <w:jc w:val="center"/>
        <w:rPr>
          <w:rFonts w:ascii="Bookman Old Style" w:hAnsi="Bookman Old Style" w:cs="Arial"/>
          <w:b/>
          <w:bCs/>
          <w:caps/>
          <w:sz w:val="28"/>
          <w:szCs w:val="28"/>
          <w:u w:val="thick"/>
          <w:lang w:val="el-GR"/>
        </w:rPr>
      </w:pPr>
    </w:p>
    <w:p w14:paraId="5080FDCF" w14:textId="77777777" w:rsidR="004C29CA" w:rsidRPr="001B1B75" w:rsidRDefault="004C29CA" w:rsidP="0000790C">
      <w:pPr>
        <w:spacing w:line="360" w:lineRule="auto"/>
        <w:ind w:right="-35"/>
        <w:jc w:val="center"/>
        <w:rPr>
          <w:rFonts w:ascii="Bookman Old Style" w:hAnsi="Bookman Old Style" w:cs="Arial"/>
          <w:b/>
          <w:bCs/>
          <w:caps/>
          <w:sz w:val="36"/>
          <w:szCs w:val="36"/>
          <w:u w:val="thick"/>
          <w:lang w:val="el-GR"/>
        </w:rPr>
      </w:pPr>
      <w:r w:rsidRPr="001B1B75">
        <w:rPr>
          <w:rFonts w:ascii="Bookman Old Style" w:hAnsi="Bookman Old Style" w:cs="Arial"/>
          <w:b/>
          <w:bCs/>
          <w:caps/>
          <w:sz w:val="36"/>
          <w:szCs w:val="36"/>
          <w:u w:val="thick"/>
          <w:lang w:val="el-GR"/>
        </w:rPr>
        <w:t>Α Π Ο Φ Α Σ Η</w:t>
      </w:r>
    </w:p>
    <w:p w14:paraId="7F95CEC7" w14:textId="6F036F5B" w:rsidR="004C29CA" w:rsidRPr="001B1B75" w:rsidRDefault="001B1B75" w:rsidP="001B1B75">
      <w:pPr>
        <w:tabs>
          <w:tab w:val="left" w:pos="624"/>
        </w:tabs>
        <w:ind w:left="3402" w:right="-35"/>
        <w:jc w:val="both"/>
        <w:rPr>
          <w:rFonts w:ascii="Bookman Old Style" w:hAnsi="Bookman Old Style"/>
          <w:b/>
          <w:bCs/>
          <w:sz w:val="28"/>
          <w:szCs w:val="28"/>
          <w:lang w:val="el-GR"/>
        </w:rPr>
      </w:pPr>
      <w:r w:rsidRPr="001B1B75">
        <w:rPr>
          <w:rFonts w:ascii="Bookman Old Style" w:hAnsi="Bookman Old Style"/>
          <w:b/>
          <w:bCs/>
          <w:sz w:val="28"/>
          <w:szCs w:val="28"/>
          <w:lang w:val="el-GR"/>
        </w:rPr>
        <w:t>(Δοθείσα Αυθημερόν)</w:t>
      </w:r>
    </w:p>
    <w:p w14:paraId="4823492C" w14:textId="77777777" w:rsidR="001B1B75" w:rsidRPr="001B1B75" w:rsidRDefault="001B1B75" w:rsidP="001B1B75">
      <w:pPr>
        <w:tabs>
          <w:tab w:val="left" w:pos="624"/>
        </w:tabs>
        <w:ind w:left="3402" w:right="-35"/>
        <w:jc w:val="both"/>
        <w:rPr>
          <w:rFonts w:ascii="Bookman Old Style" w:hAnsi="Bookman Old Style" w:cs="Arial"/>
          <w:b/>
          <w:bCs/>
          <w:sz w:val="28"/>
          <w:szCs w:val="28"/>
          <w:lang w:val="el-GR"/>
        </w:rPr>
      </w:pPr>
    </w:p>
    <w:p w14:paraId="312AADAB" w14:textId="77777777" w:rsidR="0008462C" w:rsidRPr="001B1B75" w:rsidRDefault="0008462C" w:rsidP="0000790C">
      <w:pPr>
        <w:tabs>
          <w:tab w:val="left" w:pos="624"/>
        </w:tabs>
        <w:ind w:left="681" w:right="-35" w:hanging="397"/>
        <w:jc w:val="both"/>
        <w:rPr>
          <w:rFonts w:ascii="Bookman Old Style" w:hAnsi="Bookman Old Style" w:cs="Arial"/>
          <w:b/>
          <w:bCs/>
          <w:sz w:val="28"/>
          <w:szCs w:val="28"/>
          <w:lang w:val="el-GR"/>
        </w:rPr>
      </w:pPr>
    </w:p>
    <w:p w14:paraId="4D5538E2" w14:textId="54F9FAFE" w:rsidR="005768FF" w:rsidRDefault="001B1B75"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E61587">
        <w:rPr>
          <w:rFonts w:ascii="Bookman Old Style" w:hAnsi="Bookman Old Style" w:cs="Arial"/>
          <w:sz w:val="28"/>
          <w:szCs w:val="28"/>
          <w:lang w:val="el-GR"/>
        </w:rPr>
        <w:t>Στο πλαίσιο διερεύνησης υπόθεσης που αφορά παράνομη κατοχή και χρήση ελεγχ</w:t>
      </w:r>
      <w:r w:rsidR="00E35696">
        <w:rPr>
          <w:rFonts w:ascii="Bookman Old Style" w:hAnsi="Bookman Old Style" w:cs="Arial"/>
          <w:sz w:val="28"/>
          <w:szCs w:val="28"/>
          <w:lang w:val="el-GR"/>
        </w:rPr>
        <w:t>όμε</w:t>
      </w:r>
      <w:r w:rsidR="00E61587">
        <w:rPr>
          <w:rFonts w:ascii="Bookman Old Style" w:hAnsi="Bookman Old Style" w:cs="Arial"/>
          <w:sz w:val="28"/>
          <w:szCs w:val="28"/>
          <w:lang w:val="el-GR"/>
        </w:rPr>
        <w:t xml:space="preserve">νων φαρμάκων Τάξεως Α΄ και Β΄, η Αστυνομία επεδίωξε στις 9/11/2023 την έκδοση Εντάλματος Έρευνας για την οικία, υποστατικά και όχημα του </w:t>
      </w:r>
      <w:r w:rsidR="004D76BA">
        <w:rPr>
          <w:rFonts w:ascii="Bookman Old Style" w:hAnsi="Bookman Old Style" w:cs="Arial"/>
          <w:sz w:val="28"/>
          <w:szCs w:val="28"/>
          <w:lang w:val="el-GR"/>
        </w:rPr>
        <w:t>Κ</w:t>
      </w:r>
      <w:r w:rsidR="00613AAD">
        <w:rPr>
          <w:rFonts w:ascii="Bookman Old Style" w:hAnsi="Bookman Old Style" w:cs="Arial"/>
          <w:sz w:val="28"/>
          <w:szCs w:val="28"/>
          <w:lang w:val="el-GR"/>
        </w:rPr>
        <w:t>.</w:t>
      </w:r>
      <w:r w:rsidR="004D76BA">
        <w:rPr>
          <w:rFonts w:ascii="Bookman Old Style" w:hAnsi="Bookman Old Style" w:cs="Arial"/>
          <w:sz w:val="28"/>
          <w:szCs w:val="28"/>
          <w:lang w:val="el-GR"/>
        </w:rPr>
        <w:t>Μ</w:t>
      </w:r>
      <w:r w:rsidR="00613AAD">
        <w:rPr>
          <w:rFonts w:ascii="Bookman Old Style" w:hAnsi="Bookman Old Style" w:cs="Arial"/>
          <w:sz w:val="28"/>
          <w:szCs w:val="28"/>
          <w:lang w:val="el-GR"/>
        </w:rPr>
        <w:t>.</w:t>
      </w:r>
      <w:r w:rsidR="00E61587">
        <w:rPr>
          <w:rFonts w:ascii="Bookman Old Style" w:hAnsi="Bookman Old Style" w:cs="Arial"/>
          <w:sz w:val="28"/>
          <w:szCs w:val="28"/>
          <w:lang w:val="el-GR"/>
        </w:rPr>
        <w:t>. Δικαστής του Επαρχιακού Δικαστηρίου Πάφου που επελήφθη του αιτήματος το απέρριψε, καταγράφοντας σε σχετικό πρακτικό τα ακόλουθα:</w:t>
      </w:r>
    </w:p>
    <w:p w14:paraId="648D1CBA" w14:textId="77777777" w:rsidR="00E61587" w:rsidRDefault="00E61587" w:rsidP="0000790C">
      <w:pPr>
        <w:spacing w:line="480" w:lineRule="auto"/>
        <w:ind w:right="-35"/>
        <w:jc w:val="both"/>
        <w:rPr>
          <w:rFonts w:ascii="Bookman Old Style" w:hAnsi="Bookman Old Style" w:cs="Arial"/>
          <w:sz w:val="28"/>
          <w:szCs w:val="28"/>
          <w:lang w:val="el-GR"/>
        </w:rPr>
      </w:pPr>
    </w:p>
    <w:p w14:paraId="0C4A16FD" w14:textId="25BB6A4F" w:rsidR="00E61587" w:rsidRPr="000C5E38" w:rsidRDefault="00FA5F0D" w:rsidP="000C5E38">
      <w:pPr>
        <w:spacing w:line="276" w:lineRule="auto"/>
        <w:ind w:left="426" w:right="390"/>
        <w:jc w:val="both"/>
        <w:rPr>
          <w:rFonts w:ascii="Bookman Old Style" w:hAnsi="Bookman Old Style" w:cs="Arial"/>
          <w:sz w:val="26"/>
          <w:szCs w:val="26"/>
          <w:lang w:val="el-GR"/>
        </w:rPr>
      </w:pPr>
      <w:r w:rsidRPr="000C5E38">
        <w:rPr>
          <w:rFonts w:ascii="Bookman Old Style" w:hAnsi="Bookman Old Style" w:cs="Arial"/>
          <w:sz w:val="26"/>
          <w:szCs w:val="26"/>
          <w:lang w:val="el-GR"/>
        </w:rPr>
        <w:t>«Έχω μελετήσει το περιεχόμενο του όρκου και λαμβάνοντας υπόψη ότι εναντίον του συγκεκριμένου προσώπου εκκρεμεί διάταγμα υποχρεωτικής εξέτασης στο πλαίσιο του περί Ψυχιατρικής Νοσηλείας Νόμου θεωρώ πως δεν είναι αναγκαίο στο παρόν στάδιο το αίτημα για διερεύνηση/έκδοση εντάλματος έρευνας.</w:t>
      </w:r>
    </w:p>
    <w:p w14:paraId="2EDB7E3D" w14:textId="77777777" w:rsidR="00FA5F0D" w:rsidRPr="000C5E38" w:rsidRDefault="00FA5F0D" w:rsidP="000C5E38">
      <w:pPr>
        <w:spacing w:line="276" w:lineRule="auto"/>
        <w:ind w:left="426" w:right="390"/>
        <w:jc w:val="both"/>
        <w:rPr>
          <w:rFonts w:ascii="Bookman Old Style" w:hAnsi="Bookman Old Style" w:cs="Arial"/>
          <w:sz w:val="26"/>
          <w:szCs w:val="26"/>
          <w:lang w:val="el-GR"/>
        </w:rPr>
      </w:pPr>
    </w:p>
    <w:p w14:paraId="0DE08843" w14:textId="49333309" w:rsidR="00FA5F0D" w:rsidRDefault="00FA5F0D" w:rsidP="000C5E38">
      <w:pPr>
        <w:spacing w:line="276" w:lineRule="auto"/>
        <w:ind w:left="426" w:right="390"/>
        <w:jc w:val="both"/>
        <w:rPr>
          <w:rFonts w:ascii="Bookman Old Style" w:hAnsi="Bookman Old Style" w:cs="Arial"/>
          <w:sz w:val="26"/>
          <w:szCs w:val="26"/>
          <w:lang w:val="el-GR"/>
        </w:rPr>
      </w:pPr>
      <w:r w:rsidRPr="000C5E38">
        <w:rPr>
          <w:rFonts w:ascii="Bookman Old Style" w:hAnsi="Bookman Old Style" w:cs="Arial"/>
          <w:sz w:val="26"/>
          <w:szCs w:val="26"/>
          <w:lang w:val="el-GR"/>
        </w:rPr>
        <w:t>Συνεπώς το αίτημα απορρίπτεται.»</w:t>
      </w:r>
    </w:p>
    <w:p w14:paraId="4F086D3C" w14:textId="77777777" w:rsidR="000C5E38" w:rsidRPr="000C5E38" w:rsidRDefault="000C5E38" w:rsidP="000C5E38">
      <w:pPr>
        <w:spacing w:line="276" w:lineRule="auto"/>
        <w:ind w:left="426" w:right="390"/>
        <w:jc w:val="both"/>
        <w:rPr>
          <w:rFonts w:ascii="Bookman Old Style" w:hAnsi="Bookman Old Style" w:cs="Arial"/>
          <w:sz w:val="26"/>
          <w:szCs w:val="26"/>
          <w:lang w:val="el-GR"/>
        </w:rPr>
      </w:pPr>
    </w:p>
    <w:p w14:paraId="6009DA4C" w14:textId="77777777" w:rsidR="00FA5F0D" w:rsidRPr="000C5E38" w:rsidRDefault="00FA5F0D" w:rsidP="000C5E38">
      <w:pPr>
        <w:spacing w:line="276" w:lineRule="auto"/>
        <w:ind w:right="390"/>
        <w:jc w:val="both"/>
        <w:rPr>
          <w:rFonts w:ascii="Bookman Old Style" w:hAnsi="Bookman Old Style" w:cs="Arial"/>
          <w:sz w:val="26"/>
          <w:szCs w:val="26"/>
          <w:lang w:val="el-GR"/>
        </w:rPr>
      </w:pPr>
    </w:p>
    <w:p w14:paraId="3C2109C7" w14:textId="02CB4759" w:rsidR="00FA5F0D" w:rsidRDefault="00FA5F0D" w:rsidP="00FA5F0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την παρούσα Αίτηση ο Γενικός Εισαγγελέας της Δημοκρατίας ζητά άδεια για την καταχώριση Αίτησης με κλήση για την έκδοση Προνομιακού Εντάλματος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για ακύρωση της Απόφασης του Επαρχιακού Δικαστηρίου Πάφου,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9/11/2023, για τη μη έκδοση Εντάλματος Έρευνας της οικίας, των υποστατικών και του οχήματος του Κ</w:t>
      </w:r>
      <w:r w:rsidR="00613AAD">
        <w:rPr>
          <w:rFonts w:ascii="Bookman Old Style" w:hAnsi="Bookman Old Style" w:cs="Arial"/>
          <w:sz w:val="28"/>
          <w:szCs w:val="28"/>
          <w:lang w:val="el-GR"/>
        </w:rPr>
        <w:t>.</w:t>
      </w:r>
      <w:r>
        <w:rPr>
          <w:rFonts w:ascii="Bookman Old Style" w:hAnsi="Bookman Old Style" w:cs="Arial"/>
          <w:sz w:val="28"/>
          <w:szCs w:val="28"/>
          <w:lang w:val="el-GR"/>
        </w:rPr>
        <w:t xml:space="preserve"> Μ</w:t>
      </w:r>
      <w:r w:rsidR="00613AAD">
        <w:rPr>
          <w:rFonts w:ascii="Bookman Old Style" w:hAnsi="Bookman Old Style" w:cs="Arial"/>
          <w:sz w:val="28"/>
          <w:szCs w:val="28"/>
          <w:lang w:val="el-GR"/>
        </w:rPr>
        <w:t>.</w:t>
      </w:r>
      <w:r>
        <w:rPr>
          <w:rFonts w:ascii="Bookman Old Style" w:hAnsi="Bookman Old Style" w:cs="Arial"/>
          <w:sz w:val="28"/>
          <w:szCs w:val="28"/>
          <w:lang w:val="el-GR"/>
        </w:rPr>
        <w:t>.</w:t>
      </w:r>
    </w:p>
    <w:p w14:paraId="275F13D4" w14:textId="77777777" w:rsidR="00FA5F0D" w:rsidRDefault="00FA5F0D" w:rsidP="00FA5F0D">
      <w:pPr>
        <w:spacing w:line="480" w:lineRule="auto"/>
        <w:ind w:right="-35"/>
        <w:jc w:val="both"/>
        <w:rPr>
          <w:rFonts w:ascii="Bookman Old Style" w:hAnsi="Bookman Old Style" w:cs="Arial"/>
          <w:sz w:val="28"/>
          <w:szCs w:val="28"/>
          <w:lang w:val="el-GR"/>
        </w:rPr>
      </w:pPr>
    </w:p>
    <w:p w14:paraId="61A9528C" w14:textId="56B09378" w:rsidR="00FA5F0D" w:rsidRDefault="00FA5F0D" w:rsidP="00FA5F0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Αίτηση συνοδεύεται από Έκθεση και Ένορκη Δήλωση του Υπαστυνόμου Παναγιώτη Ταμπούρα, Υπεύθυνου του Κλιμακίου της Υπηρεσίας Καταπολέμησης Ναρκωτικών της επαρχίας Πάφου.</w:t>
      </w:r>
    </w:p>
    <w:p w14:paraId="2782ED2C" w14:textId="77777777" w:rsidR="00FA5F0D" w:rsidRDefault="00FA5F0D" w:rsidP="00FA5F0D">
      <w:pPr>
        <w:spacing w:line="480" w:lineRule="auto"/>
        <w:ind w:right="-35"/>
        <w:jc w:val="both"/>
        <w:rPr>
          <w:rFonts w:ascii="Bookman Old Style" w:hAnsi="Bookman Old Style" w:cs="Arial"/>
          <w:sz w:val="28"/>
          <w:szCs w:val="28"/>
          <w:lang w:val="el-GR"/>
        </w:rPr>
      </w:pPr>
    </w:p>
    <w:p w14:paraId="54774174" w14:textId="7D92C701" w:rsidR="00FA5F0D" w:rsidRDefault="00FA5F0D" w:rsidP="00FA5F0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Οι Λόγοι επί των οποίων βασίζεται το αίτημα εξειδικεύονται στην Έκθεση και θα μπορούσαν να συνοψισθούν ως ακολούθως:</w:t>
      </w:r>
    </w:p>
    <w:p w14:paraId="4EFD5D3C" w14:textId="77777777" w:rsidR="00FA5F0D" w:rsidRDefault="00FA5F0D" w:rsidP="00FA5F0D">
      <w:pPr>
        <w:spacing w:line="480" w:lineRule="auto"/>
        <w:ind w:right="-35"/>
        <w:jc w:val="both"/>
        <w:rPr>
          <w:rFonts w:ascii="Bookman Old Style" w:hAnsi="Bookman Old Style" w:cs="Arial"/>
          <w:sz w:val="28"/>
          <w:szCs w:val="28"/>
          <w:lang w:val="el-GR"/>
        </w:rPr>
      </w:pPr>
    </w:p>
    <w:p w14:paraId="28D9F042" w14:textId="447A6C05" w:rsidR="00FA5F0D" w:rsidRDefault="00FA5F0D" w:rsidP="00085A25">
      <w:pPr>
        <w:pStyle w:val="ListParagraph"/>
        <w:numPr>
          <w:ilvl w:val="0"/>
          <w:numId w:val="21"/>
        </w:numPr>
        <w:spacing w:line="480" w:lineRule="auto"/>
        <w:ind w:left="709" w:right="-35" w:hanging="425"/>
        <w:jc w:val="both"/>
        <w:rPr>
          <w:rFonts w:ascii="Bookman Old Style" w:hAnsi="Bookman Old Style" w:cs="Arial"/>
          <w:sz w:val="28"/>
          <w:szCs w:val="28"/>
          <w:lang w:val="el-GR"/>
        </w:rPr>
      </w:pPr>
      <w:r>
        <w:rPr>
          <w:rFonts w:ascii="Bookman Old Style" w:hAnsi="Bookman Old Style" w:cs="Arial"/>
          <w:sz w:val="28"/>
          <w:szCs w:val="28"/>
          <w:lang w:val="el-GR"/>
        </w:rPr>
        <w:t xml:space="preserve">Υπάρχει έκδηλο νομικό σφάλμα επί του κειμένου της Απόφασης του Επαρχιακού Δικαστηρίου Πάφου,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9/11/2023, το οποίο συνίσταται στο ότι λανθασμένα αποφάσισε τη μη έκδοση του Εντάλματος Έρευνας, με την αιτιολογία ότι εναντίον του υπόπτου εκκρεμούσε, κατά τον επίδικο χρόνο, διάταγμα υποχρεωτικής εξέτασης στο πλαίσιο του </w:t>
      </w:r>
      <w:r w:rsidRPr="00FA5F0D">
        <w:rPr>
          <w:rFonts w:ascii="Bookman Old Style" w:hAnsi="Bookman Old Style" w:cs="Arial"/>
          <w:b/>
          <w:bCs/>
          <w:i/>
          <w:iCs/>
          <w:sz w:val="28"/>
          <w:szCs w:val="28"/>
          <w:lang w:val="el-GR"/>
        </w:rPr>
        <w:t>περί Ψυχιατρικής Νοσηλείας Νόμου 77(Ι)/</w:t>
      </w:r>
      <w:r>
        <w:rPr>
          <w:rFonts w:ascii="Bookman Old Style" w:hAnsi="Bookman Old Style" w:cs="Arial"/>
          <w:b/>
          <w:bCs/>
          <w:i/>
          <w:iCs/>
          <w:sz w:val="28"/>
          <w:szCs w:val="28"/>
          <w:lang w:val="el-GR"/>
        </w:rPr>
        <w:t>1997</w:t>
      </w:r>
      <w:r>
        <w:rPr>
          <w:rFonts w:ascii="Bookman Old Style" w:hAnsi="Bookman Old Style" w:cs="Arial"/>
          <w:sz w:val="28"/>
          <w:szCs w:val="28"/>
          <w:lang w:val="el-GR"/>
        </w:rPr>
        <w:t>.</w:t>
      </w:r>
    </w:p>
    <w:p w14:paraId="1A20F41D" w14:textId="177D4AAD" w:rsidR="000D32CD" w:rsidRPr="00085A25" w:rsidRDefault="00FA5F0D" w:rsidP="00085A25">
      <w:pPr>
        <w:pStyle w:val="ListParagraph"/>
        <w:numPr>
          <w:ilvl w:val="0"/>
          <w:numId w:val="21"/>
        </w:numPr>
        <w:spacing w:line="480" w:lineRule="auto"/>
        <w:ind w:left="709" w:right="-35" w:hanging="425"/>
        <w:jc w:val="both"/>
        <w:rPr>
          <w:rFonts w:ascii="Bookman Old Style" w:hAnsi="Bookman Old Style" w:cs="Arial"/>
          <w:sz w:val="28"/>
          <w:szCs w:val="28"/>
          <w:lang w:val="el-GR"/>
        </w:rPr>
      </w:pPr>
      <w:r w:rsidRPr="00085A25">
        <w:rPr>
          <w:rFonts w:ascii="Bookman Old Style" w:hAnsi="Bookman Old Style" w:cs="Arial"/>
          <w:sz w:val="28"/>
          <w:szCs w:val="28"/>
          <w:lang w:val="el-GR"/>
        </w:rPr>
        <w:t xml:space="preserve">Το Επαρχιακό Δικαστήριο Πάφου ενήργησε καθ’ υπέρβαση εξουσίας και/ή έλλειψη εξουσίας και κατά παράβαση του Νόμου, τα οποία συνίστανται στο ότι λανθασμένα </w:t>
      </w:r>
      <w:r w:rsidR="000D32CD" w:rsidRPr="00085A25">
        <w:rPr>
          <w:rFonts w:ascii="Bookman Old Style" w:hAnsi="Bookman Old Style" w:cs="Arial"/>
          <w:sz w:val="28"/>
          <w:szCs w:val="28"/>
          <w:lang w:val="el-GR"/>
        </w:rPr>
        <w:t xml:space="preserve">συσχέτισε τη διαδικασία και το σκοπό έκδοσης Εντάλματος Έρευνας με τη διαδικασία και το σκοπό έκδοσης διατάγματος υποχρεωτικής εξέτασης στο πλαίσιο του </w:t>
      </w:r>
      <w:r w:rsidR="000D32CD" w:rsidRPr="00085A25">
        <w:rPr>
          <w:rFonts w:ascii="Bookman Old Style" w:hAnsi="Bookman Old Style" w:cs="Arial"/>
          <w:b/>
          <w:bCs/>
          <w:i/>
          <w:iCs/>
          <w:sz w:val="28"/>
          <w:szCs w:val="28"/>
          <w:lang w:val="el-GR"/>
        </w:rPr>
        <w:t>περί Ψυχιατρικής Νοσηλείας Νόμου 77(Ι)/1997</w:t>
      </w:r>
      <w:r w:rsidR="000D32CD" w:rsidRPr="00085A25">
        <w:rPr>
          <w:rFonts w:ascii="Bookman Old Style" w:hAnsi="Bookman Old Style" w:cs="Arial"/>
          <w:sz w:val="28"/>
          <w:szCs w:val="28"/>
          <w:lang w:val="el-GR"/>
        </w:rPr>
        <w:t>, παραγνωρίζοντας την αυτοτέλεια και ιδιαίτερα το σκοπό της διαδικασίας έκδοσης Εντάλματος Έρευνας.</w:t>
      </w:r>
    </w:p>
    <w:p w14:paraId="5B3E77AF" w14:textId="55B237DB" w:rsidR="000D32CD" w:rsidRDefault="000D32CD" w:rsidP="000D32CD">
      <w:pPr>
        <w:spacing w:line="480" w:lineRule="auto"/>
        <w:ind w:right="-35"/>
        <w:jc w:val="both"/>
        <w:rPr>
          <w:rFonts w:ascii="Bookman Old Style" w:hAnsi="Bookman Old Style" w:cs="Arial"/>
          <w:sz w:val="28"/>
          <w:szCs w:val="28"/>
          <w:lang w:val="el-GR"/>
        </w:rPr>
      </w:pPr>
    </w:p>
    <w:p w14:paraId="2E007BB2" w14:textId="04C057DD" w:rsidR="00FA5F0D" w:rsidRDefault="000D32CD" w:rsidP="000D32C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Έχω διεξέλθει με προσοχή την Απόφαση του Κατώτερου Δικαστηρίου, καθώς επίσης και ό,τι ο Αιτητής μέσω της ευπαίδευτης συνηγόρου του έχει θέσει ενώπιόν μου, συμπεριλαμβανομένων των επιχειρημάτων που αναπτύχθηκαν μέσω γραπτής αγόρευσης. </w:t>
      </w:r>
    </w:p>
    <w:p w14:paraId="336C7BD2" w14:textId="77777777" w:rsidR="00D22A64" w:rsidRDefault="00D22A64" w:rsidP="000D32CD">
      <w:pPr>
        <w:spacing w:line="480" w:lineRule="auto"/>
        <w:ind w:right="-35"/>
        <w:jc w:val="both"/>
        <w:rPr>
          <w:rFonts w:ascii="Bookman Old Style" w:hAnsi="Bookman Old Style" w:cs="Arial"/>
          <w:sz w:val="28"/>
          <w:szCs w:val="28"/>
          <w:lang w:val="el-GR"/>
        </w:rPr>
      </w:pPr>
    </w:p>
    <w:p w14:paraId="47790182" w14:textId="03BACDF7" w:rsidR="00D22A64" w:rsidRPr="001D57B8" w:rsidRDefault="00D22A64" w:rsidP="000D32C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Εν πρώτοις</w:t>
      </w:r>
      <w:r w:rsidR="00E35696">
        <w:rPr>
          <w:rFonts w:ascii="Bookman Old Style" w:hAnsi="Bookman Old Style" w:cs="Arial"/>
          <w:sz w:val="28"/>
          <w:szCs w:val="28"/>
          <w:lang w:val="el-GR"/>
        </w:rPr>
        <w:t>,</w:t>
      </w:r>
      <w:r>
        <w:rPr>
          <w:rFonts w:ascii="Bookman Old Style" w:hAnsi="Bookman Old Style" w:cs="Arial"/>
          <w:sz w:val="28"/>
          <w:szCs w:val="28"/>
          <w:lang w:val="el-GR"/>
        </w:rPr>
        <w:t xml:space="preserve"> όπως έχει επισημανθεί στην Υπόθεση </w:t>
      </w:r>
      <w:r w:rsidRPr="00D22A64">
        <w:rPr>
          <w:rFonts w:ascii="Bookman Old Style" w:hAnsi="Bookman Old Style" w:cs="Arial"/>
          <w:b/>
          <w:bCs/>
          <w:i/>
          <w:iCs/>
          <w:sz w:val="28"/>
          <w:szCs w:val="28"/>
          <w:lang w:val="el-GR"/>
        </w:rPr>
        <w:t xml:space="preserve">Γενικός Εισαγγελέας της Δημοκρατίας και Αναφορικά με την αίτηση Απόφαση του Επαρχιακού Δικαστηρίου Λάρνακας </w:t>
      </w:r>
      <w:proofErr w:type="spellStart"/>
      <w:r w:rsidRPr="00D22A64">
        <w:rPr>
          <w:rFonts w:ascii="Bookman Old Style" w:hAnsi="Bookman Old Style" w:cs="Arial"/>
          <w:b/>
          <w:bCs/>
          <w:i/>
          <w:iCs/>
          <w:sz w:val="28"/>
          <w:szCs w:val="28"/>
          <w:lang w:val="el-GR"/>
        </w:rPr>
        <w:t>ημερ</w:t>
      </w:r>
      <w:proofErr w:type="spellEnd"/>
      <w:r w:rsidRPr="00D22A64">
        <w:rPr>
          <w:rFonts w:ascii="Bookman Old Style" w:hAnsi="Bookman Old Style" w:cs="Arial"/>
          <w:b/>
          <w:bCs/>
          <w:i/>
          <w:iCs/>
          <w:sz w:val="28"/>
          <w:szCs w:val="28"/>
          <w:lang w:val="el-GR"/>
        </w:rPr>
        <w:t xml:space="preserve">. 4/6/2021 δια της οποίας απορρίφθηκε το αίτημα της Αστυνομίας για έκδοση εντάλματος σύλληψης εναντίον του Αλεξανδρή, Πολιτική Έφεση </w:t>
      </w:r>
      <w:r w:rsidR="00E35696">
        <w:rPr>
          <w:rFonts w:ascii="Bookman Old Style" w:hAnsi="Bookman Old Style" w:cs="Arial"/>
          <w:b/>
          <w:bCs/>
          <w:i/>
          <w:iCs/>
          <w:sz w:val="28"/>
          <w:szCs w:val="28"/>
          <w:lang w:val="el-GR"/>
        </w:rPr>
        <w:t>Α</w:t>
      </w:r>
      <w:r w:rsidRPr="00D22A64">
        <w:rPr>
          <w:rFonts w:ascii="Bookman Old Style" w:hAnsi="Bookman Old Style" w:cs="Arial"/>
          <w:b/>
          <w:bCs/>
          <w:i/>
          <w:iCs/>
          <w:sz w:val="28"/>
          <w:szCs w:val="28"/>
          <w:lang w:val="el-GR"/>
        </w:rPr>
        <w:t xml:space="preserve">ρ. 213/2021, </w:t>
      </w:r>
      <w:proofErr w:type="spellStart"/>
      <w:r w:rsidRPr="00D22A64">
        <w:rPr>
          <w:rFonts w:ascii="Bookman Old Style" w:hAnsi="Bookman Old Style" w:cs="Arial"/>
          <w:b/>
          <w:bCs/>
          <w:i/>
          <w:iCs/>
          <w:sz w:val="28"/>
          <w:szCs w:val="28"/>
          <w:lang w:val="el-GR"/>
        </w:rPr>
        <w:t>ημερ</w:t>
      </w:r>
      <w:proofErr w:type="spellEnd"/>
      <w:r w:rsidRPr="00D22A64">
        <w:rPr>
          <w:rFonts w:ascii="Bookman Old Style" w:hAnsi="Bookman Old Style" w:cs="Arial"/>
          <w:b/>
          <w:bCs/>
          <w:i/>
          <w:iCs/>
          <w:sz w:val="28"/>
          <w:szCs w:val="28"/>
          <w:lang w:val="el-GR"/>
        </w:rPr>
        <w:t>. 1/3/2022</w:t>
      </w:r>
      <w:r w:rsidR="00E35696">
        <w:rPr>
          <w:rFonts w:ascii="Bookman Old Style" w:hAnsi="Bookman Old Style" w:cs="Arial"/>
          <w:sz w:val="28"/>
          <w:szCs w:val="28"/>
          <w:lang w:val="el-GR"/>
        </w:rPr>
        <w:t>,</w:t>
      </w:r>
      <w:r>
        <w:rPr>
          <w:rFonts w:ascii="Bookman Old Style" w:hAnsi="Bookman Old Style" w:cs="Arial"/>
          <w:sz w:val="28"/>
          <w:szCs w:val="28"/>
          <w:lang w:val="el-GR"/>
        </w:rPr>
        <w:t xml:space="preserve"> δεν χωρεί αμφιβολία ότι η απορριπτική απόφαση του Κατώτερου Δικαστηρίου παρήγαγε, ως προκύπτει, έννομα αποτελέσματα δυσμενή για τις ανακριτικές αρχές και</w:t>
      </w:r>
      <w:r w:rsidR="001D57B8">
        <w:rPr>
          <w:rFonts w:ascii="Bookman Old Style" w:hAnsi="Bookman Old Style" w:cs="Arial"/>
          <w:sz w:val="28"/>
          <w:szCs w:val="28"/>
          <w:lang w:val="el-GR"/>
        </w:rPr>
        <w:t>,</w:t>
      </w:r>
      <w:r>
        <w:rPr>
          <w:rFonts w:ascii="Bookman Old Style" w:hAnsi="Bookman Old Style" w:cs="Arial"/>
          <w:sz w:val="28"/>
          <w:szCs w:val="28"/>
          <w:lang w:val="el-GR"/>
        </w:rPr>
        <w:t xml:space="preserve"> ως τέτοια</w:t>
      </w:r>
      <w:r w:rsidR="001D57B8">
        <w:rPr>
          <w:rFonts w:ascii="Bookman Old Style" w:hAnsi="Bookman Old Style" w:cs="Arial"/>
          <w:sz w:val="28"/>
          <w:szCs w:val="28"/>
          <w:lang w:val="el-GR"/>
        </w:rPr>
        <w:t>,</w:t>
      </w:r>
      <w:r>
        <w:rPr>
          <w:rFonts w:ascii="Bookman Old Style" w:hAnsi="Bookman Old Style" w:cs="Arial"/>
          <w:sz w:val="28"/>
          <w:szCs w:val="28"/>
          <w:lang w:val="el-GR"/>
        </w:rPr>
        <w:t xml:space="preserve"> μπορεί</w:t>
      </w:r>
      <w:r w:rsidR="001D57B8">
        <w:rPr>
          <w:rFonts w:ascii="Bookman Old Style" w:hAnsi="Bookman Old Style" w:cs="Arial"/>
          <w:sz w:val="28"/>
          <w:szCs w:val="28"/>
          <w:lang w:val="el-GR"/>
        </w:rPr>
        <w:t>, αν τα γεγονότα το δικαιολογούν,</w:t>
      </w:r>
      <w:r>
        <w:rPr>
          <w:rFonts w:ascii="Bookman Old Style" w:hAnsi="Bookman Old Style" w:cs="Arial"/>
          <w:sz w:val="28"/>
          <w:szCs w:val="28"/>
          <w:lang w:val="el-GR"/>
        </w:rPr>
        <w:t xml:space="preserve"> να αποτελέσει αντικείμενο </w:t>
      </w:r>
      <w:r w:rsidR="001D57B8">
        <w:rPr>
          <w:rFonts w:ascii="Bookman Old Style" w:hAnsi="Bookman Old Style" w:cs="Arial"/>
          <w:sz w:val="28"/>
          <w:szCs w:val="28"/>
          <w:lang w:val="el-GR"/>
        </w:rPr>
        <w:t>Προνομιακού Εντάλματος</w:t>
      </w:r>
      <w:r w:rsidR="001D57B8" w:rsidRPr="001D57B8">
        <w:rPr>
          <w:rFonts w:ascii="Bookman Old Style" w:hAnsi="Bookman Old Style" w:cs="Arial"/>
          <w:i/>
          <w:iCs/>
          <w:sz w:val="28"/>
          <w:szCs w:val="28"/>
          <w:lang w:val="el-GR"/>
        </w:rPr>
        <w:t xml:space="preserve"> </w:t>
      </w:r>
      <w:r w:rsidR="001D57B8">
        <w:rPr>
          <w:rFonts w:ascii="Bookman Old Style" w:hAnsi="Bookman Old Style" w:cs="Arial"/>
          <w:i/>
          <w:iCs/>
          <w:sz w:val="28"/>
          <w:szCs w:val="28"/>
          <w:lang w:val="en-US"/>
        </w:rPr>
        <w:t>Certiorari</w:t>
      </w:r>
      <w:r w:rsidR="001D57B8">
        <w:rPr>
          <w:rFonts w:ascii="Bookman Old Style" w:hAnsi="Bookman Old Style" w:cs="Arial"/>
          <w:sz w:val="28"/>
          <w:szCs w:val="28"/>
          <w:lang w:val="el-GR"/>
        </w:rPr>
        <w:t>.</w:t>
      </w:r>
    </w:p>
    <w:p w14:paraId="696B0529" w14:textId="77777777" w:rsidR="000D32CD" w:rsidRDefault="000D32CD" w:rsidP="000D32CD">
      <w:pPr>
        <w:spacing w:line="480" w:lineRule="auto"/>
        <w:ind w:right="-35"/>
        <w:jc w:val="both"/>
        <w:rPr>
          <w:rFonts w:ascii="Bookman Old Style" w:hAnsi="Bookman Old Style" w:cs="Arial"/>
          <w:sz w:val="28"/>
          <w:szCs w:val="28"/>
          <w:lang w:val="el-GR"/>
        </w:rPr>
      </w:pPr>
    </w:p>
    <w:p w14:paraId="43375794" w14:textId="552E7E30" w:rsidR="001B1B75" w:rsidRPr="00E35696" w:rsidRDefault="00BE1A7D" w:rsidP="001B1B75">
      <w:pPr>
        <w:overflowPunct w:val="0"/>
        <w:spacing w:line="480" w:lineRule="auto"/>
        <w:ind w:right="62"/>
        <w:jc w:val="both"/>
        <w:rPr>
          <w:rFonts w:ascii="Bookman Old Style" w:hAnsi="Bookman Old Style"/>
          <w:sz w:val="28"/>
          <w:szCs w:val="28"/>
          <w:lang w:val="el-GR"/>
        </w:rPr>
      </w:pPr>
      <w:r w:rsidRPr="001B1B75">
        <w:rPr>
          <w:rFonts w:ascii="Bookman Old Style" w:hAnsi="Bookman Old Style" w:cs="Arial"/>
          <w:sz w:val="28"/>
          <w:szCs w:val="28"/>
          <w:lang w:val="el-GR"/>
        </w:rPr>
        <w:t>Οι αρχές που διέπουν τη χορήγηση άδειας για καταχώριση αίτησης προς έκδοση Προνομιακού Εντάλματος</w:t>
      </w:r>
      <w:r w:rsidR="001B1B75" w:rsidRPr="001B1B75">
        <w:rPr>
          <w:rFonts w:ascii="Bookman Old Style" w:hAnsi="Bookman Old Style" w:cs="Arial"/>
          <w:sz w:val="28"/>
          <w:szCs w:val="28"/>
          <w:lang w:val="el-GR"/>
        </w:rPr>
        <w:t xml:space="preserve"> </w:t>
      </w:r>
      <w:r w:rsidR="001B1B75" w:rsidRPr="001B1B75">
        <w:rPr>
          <w:rFonts w:ascii="Bookman Old Style" w:hAnsi="Bookman Old Style"/>
          <w:sz w:val="28"/>
          <w:szCs w:val="28"/>
          <w:lang w:val="el-GR"/>
        </w:rPr>
        <w:t>έχουν κατ' επανάληψη αναφερθεί στη νομολογία μας.</w:t>
      </w:r>
      <w:r w:rsidR="001B1B75">
        <w:rPr>
          <w:rFonts w:ascii="Bookman Old Style" w:hAnsi="Bookman Old Style"/>
          <w:sz w:val="28"/>
          <w:szCs w:val="28"/>
          <w:lang w:val="el-GR"/>
        </w:rPr>
        <w:t xml:space="preserve"> </w:t>
      </w:r>
      <w:r w:rsidR="001B1B75" w:rsidRPr="001B1B75">
        <w:rPr>
          <w:rFonts w:ascii="Bookman Old Style" w:hAnsi="Bookman Old Style"/>
          <w:sz w:val="28"/>
          <w:szCs w:val="28"/>
          <w:lang w:val="el-GR"/>
        </w:rPr>
        <w:t xml:space="preserve">Η πιο κάτω περικοπή από την υπόθεση </w:t>
      </w:r>
      <w:r w:rsidR="001B1B75" w:rsidRPr="001B1B75">
        <w:rPr>
          <w:rFonts w:ascii="Bookman Old Style" w:hAnsi="Bookman Old Style"/>
          <w:b/>
          <w:bCs/>
          <w:i/>
          <w:iCs/>
          <w:sz w:val="28"/>
          <w:szCs w:val="28"/>
          <w:lang w:val="el-GR"/>
        </w:rPr>
        <w:t xml:space="preserve">Αναφορικά με την Αίτηση του </w:t>
      </w:r>
      <w:proofErr w:type="spellStart"/>
      <w:r w:rsidR="001B1B75" w:rsidRPr="001B1B75">
        <w:rPr>
          <w:rFonts w:ascii="Bookman Old Style" w:hAnsi="Bookman Old Style"/>
          <w:b/>
          <w:bCs/>
          <w:i/>
          <w:iCs/>
          <w:sz w:val="28"/>
          <w:szCs w:val="28"/>
          <w:lang w:val="el-GR"/>
        </w:rPr>
        <w:t>Ευδόκα</w:t>
      </w:r>
      <w:proofErr w:type="spellEnd"/>
      <w:r w:rsidR="001B1B75" w:rsidRPr="001B1B75">
        <w:rPr>
          <w:rFonts w:ascii="Bookman Old Style" w:hAnsi="Bookman Old Style"/>
          <w:b/>
          <w:bCs/>
          <w:i/>
          <w:iCs/>
          <w:sz w:val="28"/>
          <w:szCs w:val="28"/>
          <w:lang w:val="el-GR"/>
        </w:rPr>
        <w:t xml:space="preserve">, Πολιτική Έφεση </w:t>
      </w:r>
      <w:proofErr w:type="spellStart"/>
      <w:r w:rsidR="001B1B75" w:rsidRPr="001B1B75">
        <w:rPr>
          <w:rFonts w:ascii="Bookman Old Style" w:hAnsi="Bookman Old Style"/>
          <w:b/>
          <w:bCs/>
          <w:i/>
          <w:iCs/>
          <w:sz w:val="28"/>
          <w:szCs w:val="28"/>
          <w:lang w:val="el-GR"/>
        </w:rPr>
        <w:t>Αρ</w:t>
      </w:r>
      <w:proofErr w:type="spellEnd"/>
      <w:r w:rsidR="001B1B75" w:rsidRPr="001B1B75">
        <w:rPr>
          <w:rFonts w:ascii="Bookman Old Style" w:hAnsi="Bookman Old Style"/>
          <w:b/>
          <w:bCs/>
          <w:i/>
          <w:iCs/>
          <w:sz w:val="28"/>
          <w:szCs w:val="28"/>
          <w:lang w:val="el-GR"/>
        </w:rPr>
        <w:t xml:space="preserve">. 219/2015, </w:t>
      </w:r>
      <w:proofErr w:type="spellStart"/>
      <w:r w:rsidR="001B1B75" w:rsidRPr="001B1B75">
        <w:rPr>
          <w:rFonts w:ascii="Bookman Old Style" w:hAnsi="Bookman Old Style"/>
          <w:b/>
          <w:bCs/>
          <w:i/>
          <w:iCs/>
          <w:sz w:val="28"/>
          <w:szCs w:val="28"/>
          <w:lang w:val="el-GR"/>
        </w:rPr>
        <w:t>ημερ</w:t>
      </w:r>
      <w:proofErr w:type="spellEnd"/>
      <w:r w:rsidR="001B1B75" w:rsidRPr="001B1B75">
        <w:rPr>
          <w:rFonts w:ascii="Bookman Old Style" w:hAnsi="Bookman Old Style"/>
          <w:b/>
          <w:bCs/>
          <w:i/>
          <w:iCs/>
          <w:sz w:val="28"/>
          <w:szCs w:val="28"/>
          <w:lang w:val="el-GR"/>
        </w:rPr>
        <w:t>. 29/12/2016</w:t>
      </w:r>
      <w:r w:rsidR="001B1B75" w:rsidRPr="001B1B75">
        <w:rPr>
          <w:rFonts w:ascii="Bookman Old Style" w:hAnsi="Bookman Old Style"/>
          <w:sz w:val="28"/>
          <w:szCs w:val="28"/>
          <w:lang w:val="el-GR"/>
        </w:rPr>
        <w:t>,</w:t>
      </w:r>
      <w:r w:rsidR="001B1B75" w:rsidRPr="001B1B75">
        <w:rPr>
          <w:rFonts w:ascii="Bookman Old Style" w:hAnsi="Bookman Old Style"/>
          <w:b/>
          <w:bCs/>
          <w:i/>
          <w:iCs/>
          <w:sz w:val="28"/>
          <w:szCs w:val="28"/>
          <w:lang w:val="el-GR"/>
        </w:rPr>
        <w:t xml:space="preserve"> </w:t>
      </w:r>
      <w:r w:rsidR="001B1B75" w:rsidRPr="001B1B75">
        <w:rPr>
          <w:rFonts w:ascii="Bookman Old Style" w:hAnsi="Bookman Old Style"/>
          <w:sz w:val="28"/>
          <w:szCs w:val="28"/>
          <w:lang w:val="el-GR"/>
        </w:rPr>
        <w:t xml:space="preserve">είναι απόλυτα σχετική: </w:t>
      </w:r>
    </w:p>
    <w:p w14:paraId="35032111" w14:textId="6D8048F8" w:rsidR="001B1B75" w:rsidRPr="001B1B75" w:rsidRDefault="001B1B75" w:rsidP="001B1B75">
      <w:pPr>
        <w:overflowPunct w:val="0"/>
        <w:spacing w:line="480" w:lineRule="auto"/>
        <w:ind w:right="62"/>
        <w:jc w:val="both"/>
        <w:rPr>
          <w:lang w:val="el-GR"/>
        </w:rPr>
      </w:pPr>
      <w:r w:rsidRPr="001B1B75">
        <w:rPr>
          <w:rFonts w:ascii="Bookman Old Style" w:hAnsi="Bookman Old Style"/>
          <w:sz w:val="28"/>
          <w:szCs w:val="28"/>
        </w:rPr>
        <w:t> </w:t>
      </w:r>
    </w:p>
    <w:p w14:paraId="54185F6B" w14:textId="004C0F29" w:rsidR="001B1B75" w:rsidRPr="001B1B75" w:rsidRDefault="001B1B75" w:rsidP="001B1B75">
      <w:pPr>
        <w:overflowPunct w:val="0"/>
        <w:spacing w:line="276" w:lineRule="auto"/>
        <w:ind w:left="426" w:right="390"/>
        <w:jc w:val="both"/>
        <w:rPr>
          <w:rFonts w:ascii="Bookman Old Style" w:hAnsi="Bookman Old Style"/>
          <w:sz w:val="26"/>
          <w:szCs w:val="26"/>
          <w:lang w:val="el-GR"/>
        </w:rPr>
      </w:pPr>
      <w:r w:rsidRPr="001B1B75">
        <w:rPr>
          <w:rFonts w:ascii="Bookman Old Style" w:hAnsi="Bookman Old Style"/>
          <w:sz w:val="26"/>
          <w:szCs w:val="26"/>
          <w:lang w:val="el-GR"/>
        </w:rPr>
        <w:t>«</w:t>
      </w:r>
      <w:r w:rsidRPr="001B1B75">
        <w:rPr>
          <w:rFonts w:ascii="Bookman Old Style" w:hAnsi="Bookman Old Style"/>
          <w:i/>
          <w:iCs/>
          <w:sz w:val="26"/>
          <w:szCs w:val="26"/>
          <w:lang w:val="el-GR"/>
        </w:rPr>
        <w:t xml:space="preserve">Όπως επιτάσσει η νομολογία, για την παραχώρηση άδειας για την έκδοση προνομιακού εντάλματος </w:t>
      </w:r>
      <w:r w:rsidRPr="001B1B75">
        <w:rPr>
          <w:rFonts w:ascii="Bookman Old Style" w:hAnsi="Bookman Old Style"/>
          <w:i/>
          <w:iCs/>
          <w:sz w:val="26"/>
          <w:szCs w:val="26"/>
        </w:rPr>
        <w:t>Certiorari</w:t>
      </w:r>
      <w:r w:rsidRPr="001B1B75">
        <w:rPr>
          <w:rFonts w:ascii="Bookman Old Style" w:hAnsi="Bookman Old Style"/>
          <w:i/>
          <w:iCs/>
          <w:sz w:val="26"/>
          <w:szCs w:val="26"/>
          <w:lang w:val="el-GR"/>
        </w:rPr>
        <w:t xml:space="preserve">, 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 του κατώτερου δικαστηρίου. (Βλ. </w:t>
      </w:r>
      <w:r w:rsidRPr="001B1B75">
        <w:rPr>
          <w:rFonts w:ascii="Bookman Old Style" w:hAnsi="Bookman Old Style"/>
          <w:b/>
          <w:bCs/>
          <w:i/>
          <w:iCs/>
          <w:sz w:val="26"/>
          <w:szCs w:val="26"/>
        </w:rPr>
        <w:t>In</w:t>
      </w:r>
      <w:r w:rsidRPr="001B1B75">
        <w:rPr>
          <w:rFonts w:ascii="Bookman Old Style" w:hAnsi="Bookman Old Style"/>
          <w:b/>
          <w:bCs/>
          <w:i/>
          <w:iCs/>
          <w:sz w:val="26"/>
          <w:szCs w:val="26"/>
          <w:lang w:val="el-GR"/>
        </w:rPr>
        <w:t xml:space="preserve"> </w:t>
      </w:r>
      <w:r w:rsidRPr="001B1B75">
        <w:rPr>
          <w:rFonts w:ascii="Bookman Old Style" w:hAnsi="Bookman Old Style"/>
          <w:b/>
          <w:bCs/>
          <w:i/>
          <w:iCs/>
          <w:sz w:val="26"/>
          <w:szCs w:val="26"/>
        </w:rPr>
        <w:t>Re</w:t>
      </w:r>
      <w:r w:rsidRPr="001B1B75">
        <w:rPr>
          <w:rFonts w:ascii="Bookman Old Style" w:hAnsi="Bookman Old Style"/>
          <w:b/>
          <w:bCs/>
          <w:i/>
          <w:iCs/>
          <w:sz w:val="26"/>
          <w:szCs w:val="26"/>
          <w:lang w:val="el-GR"/>
        </w:rPr>
        <w:t xml:space="preserve"> </w:t>
      </w:r>
      <w:r w:rsidRPr="001B1B75">
        <w:rPr>
          <w:rFonts w:ascii="Bookman Old Style" w:hAnsi="Bookman Old Style"/>
          <w:b/>
          <w:bCs/>
          <w:i/>
          <w:iCs/>
          <w:sz w:val="26"/>
          <w:szCs w:val="26"/>
        </w:rPr>
        <w:t>Kakos</w:t>
      </w:r>
      <w:r w:rsidRPr="001B1B75">
        <w:rPr>
          <w:rFonts w:ascii="Bookman Old Style" w:hAnsi="Bookman Old Style"/>
          <w:b/>
          <w:bCs/>
          <w:i/>
          <w:iCs/>
          <w:sz w:val="26"/>
          <w:szCs w:val="26"/>
          <w:lang w:val="el-GR"/>
        </w:rPr>
        <w:t xml:space="preserve"> (1985) </w:t>
      </w:r>
      <w:r w:rsidR="00E35696">
        <w:rPr>
          <w:rFonts w:ascii="Bookman Old Style" w:hAnsi="Bookman Old Style"/>
          <w:b/>
          <w:bCs/>
          <w:i/>
          <w:iCs/>
          <w:sz w:val="26"/>
          <w:szCs w:val="26"/>
          <w:lang w:val="el-GR"/>
        </w:rPr>
        <w:t xml:space="preserve">                   </w:t>
      </w:r>
      <w:r w:rsidRPr="001B1B75">
        <w:rPr>
          <w:rFonts w:ascii="Bookman Old Style" w:hAnsi="Bookman Old Style"/>
          <w:b/>
          <w:bCs/>
          <w:i/>
          <w:iCs/>
          <w:sz w:val="26"/>
          <w:szCs w:val="26"/>
          <w:lang w:val="el-GR"/>
        </w:rPr>
        <w:t xml:space="preserve">1 </w:t>
      </w:r>
      <w:r w:rsidRPr="001B1B75">
        <w:rPr>
          <w:rFonts w:ascii="Bookman Old Style" w:hAnsi="Bookman Old Style"/>
          <w:b/>
          <w:bCs/>
          <w:i/>
          <w:iCs/>
          <w:sz w:val="26"/>
          <w:szCs w:val="26"/>
        </w:rPr>
        <w:t>C</w:t>
      </w:r>
      <w:r w:rsidRPr="001B1B75">
        <w:rPr>
          <w:rFonts w:ascii="Bookman Old Style" w:hAnsi="Bookman Old Style"/>
          <w:b/>
          <w:bCs/>
          <w:i/>
          <w:iCs/>
          <w:sz w:val="26"/>
          <w:szCs w:val="26"/>
          <w:lang w:val="el-GR"/>
        </w:rPr>
        <w:t>.</w:t>
      </w:r>
      <w:r w:rsidRPr="001B1B75">
        <w:rPr>
          <w:rFonts w:ascii="Bookman Old Style" w:hAnsi="Bookman Old Style"/>
          <w:b/>
          <w:bCs/>
          <w:i/>
          <w:iCs/>
          <w:sz w:val="26"/>
          <w:szCs w:val="26"/>
        </w:rPr>
        <w:t>L</w:t>
      </w:r>
      <w:r w:rsidRPr="001B1B75">
        <w:rPr>
          <w:rFonts w:ascii="Bookman Old Style" w:hAnsi="Bookman Old Style"/>
          <w:b/>
          <w:bCs/>
          <w:i/>
          <w:iCs/>
          <w:sz w:val="26"/>
          <w:szCs w:val="26"/>
          <w:lang w:val="el-GR"/>
        </w:rPr>
        <w:t>.</w:t>
      </w:r>
      <w:r w:rsidRPr="001B1B75">
        <w:rPr>
          <w:rFonts w:ascii="Bookman Old Style" w:hAnsi="Bookman Old Style"/>
          <w:b/>
          <w:bCs/>
          <w:i/>
          <w:iCs/>
          <w:sz w:val="26"/>
          <w:szCs w:val="26"/>
        </w:rPr>
        <w:t>R</w:t>
      </w:r>
      <w:r w:rsidRPr="001B1B75">
        <w:rPr>
          <w:rFonts w:ascii="Bookman Old Style" w:hAnsi="Bookman Old Style"/>
          <w:b/>
          <w:bCs/>
          <w:i/>
          <w:iCs/>
          <w:sz w:val="26"/>
          <w:szCs w:val="26"/>
          <w:lang w:val="el-GR"/>
        </w:rPr>
        <w:t>. 250</w:t>
      </w:r>
      <w:r w:rsidRPr="001B1B75">
        <w:rPr>
          <w:rFonts w:ascii="Bookman Old Style" w:hAnsi="Bookman Old Style"/>
          <w:i/>
          <w:iCs/>
          <w:sz w:val="26"/>
          <w:szCs w:val="26"/>
          <w:lang w:val="el-GR"/>
        </w:rPr>
        <w:t>).</w:t>
      </w:r>
    </w:p>
    <w:p w14:paraId="46116855" w14:textId="77777777" w:rsidR="001B1B75" w:rsidRPr="001B1B75" w:rsidRDefault="001B1B75" w:rsidP="001B1B75">
      <w:pPr>
        <w:overflowPunct w:val="0"/>
        <w:spacing w:line="276" w:lineRule="auto"/>
        <w:ind w:right="62"/>
        <w:jc w:val="both"/>
        <w:rPr>
          <w:rFonts w:ascii="Bookman Old Style" w:hAnsi="Bookman Old Style"/>
          <w:sz w:val="26"/>
          <w:szCs w:val="26"/>
          <w:lang w:val="el-GR"/>
        </w:rPr>
      </w:pPr>
      <w:r w:rsidRPr="001B1B75">
        <w:rPr>
          <w:rFonts w:ascii="Bookman Old Style" w:hAnsi="Bookman Old Style"/>
          <w:sz w:val="26"/>
          <w:szCs w:val="26"/>
        </w:rPr>
        <w:t> </w:t>
      </w:r>
    </w:p>
    <w:p w14:paraId="24DC6444" w14:textId="77777777" w:rsidR="001B1B75" w:rsidRPr="001B1B75" w:rsidRDefault="001B1B75" w:rsidP="001B1B75">
      <w:pPr>
        <w:overflowPunct w:val="0"/>
        <w:spacing w:line="276" w:lineRule="auto"/>
        <w:ind w:left="426" w:right="390"/>
        <w:jc w:val="both"/>
        <w:rPr>
          <w:rFonts w:ascii="Bookman Old Style" w:hAnsi="Bookman Old Style"/>
          <w:sz w:val="26"/>
          <w:szCs w:val="26"/>
          <w:lang w:val="el-GR"/>
        </w:rPr>
      </w:pPr>
      <w:r w:rsidRPr="001B1B75">
        <w:rPr>
          <w:rFonts w:ascii="Bookman Old Style" w:hAnsi="Bookman Old Style"/>
          <w:i/>
          <w:iCs/>
          <w:sz w:val="26"/>
          <w:szCs w:val="26"/>
          <w:lang w:val="el-GR"/>
        </w:rPr>
        <w:t xml:space="preserve">Περαιτέρω, εξετάζοντας την πιθανότητα χορήγησης αδείας θα πρέπει ο αιτητής να τεκμηριώσει, εκ πρώτης όψεως, και αιτιολογήσει τη χορήγηση αδείας. (Βλ. </w:t>
      </w:r>
      <w:proofErr w:type="spellStart"/>
      <w:r w:rsidRPr="001B1B75">
        <w:rPr>
          <w:rFonts w:ascii="Bookman Old Style" w:hAnsi="Bookman Old Style"/>
          <w:b/>
          <w:bCs/>
          <w:i/>
          <w:iCs/>
          <w:sz w:val="26"/>
          <w:szCs w:val="26"/>
          <w:lang w:val="el-GR"/>
        </w:rPr>
        <w:t>Λυσιώτης</w:t>
      </w:r>
      <w:proofErr w:type="spellEnd"/>
      <w:r w:rsidRPr="001B1B75">
        <w:rPr>
          <w:rFonts w:ascii="Bookman Old Style" w:hAnsi="Bookman Old Style"/>
          <w:b/>
          <w:bCs/>
          <w:i/>
          <w:iCs/>
          <w:sz w:val="26"/>
          <w:szCs w:val="26"/>
          <w:lang w:val="el-GR"/>
        </w:rPr>
        <w:t xml:space="preserve"> (1986) 1 Α.Α.Δ. 1696</w:t>
      </w:r>
      <w:r w:rsidRPr="001B1B75">
        <w:rPr>
          <w:rFonts w:ascii="Bookman Old Style" w:hAnsi="Bookman Old Style"/>
          <w:i/>
          <w:iCs/>
          <w:sz w:val="26"/>
          <w:szCs w:val="26"/>
          <w:lang w:val="el-GR"/>
        </w:rPr>
        <w:t>).</w:t>
      </w:r>
    </w:p>
    <w:p w14:paraId="1C6B5F41" w14:textId="00EE5843" w:rsidR="001B1B75" w:rsidRPr="001B1B75" w:rsidRDefault="001B1B75" w:rsidP="001B1B75">
      <w:pPr>
        <w:overflowPunct w:val="0"/>
        <w:spacing w:before="100" w:beforeAutospacing="1" w:after="100" w:afterAutospacing="1" w:line="276" w:lineRule="auto"/>
        <w:ind w:left="426" w:right="390"/>
        <w:jc w:val="both"/>
        <w:rPr>
          <w:rFonts w:ascii="Bookman Old Style" w:hAnsi="Bookman Old Style"/>
          <w:sz w:val="26"/>
          <w:szCs w:val="26"/>
          <w:lang w:val="el-GR"/>
        </w:rPr>
      </w:pPr>
      <w:r w:rsidRPr="001B1B75">
        <w:rPr>
          <w:rFonts w:ascii="Bookman Old Style" w:hAnsi="Bookman Old Style"/>
          <w:i/>
          <w:iCs/>
          <w:sz w:val="26"/>
          <w:szCs w:val="26"/>
          <w:lang w:val="el-GR"/>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1B1B75">
        <w:rPr>
          <w:rFonts w:ascii="Bookman Old Style" w:hAnsi="Bookman Old Style"/>
          <w:b/>
          <w:bCs/>
          <w:i/>
          <w:iCs/>
          <w:sz w:val="26"/>
          <w:szCs w:val="26"/>
        </w:rPr>
        <w:t>Global</w:t>
      </w:r>
      <w:r w:rsidRPr="001B1B75">
        <w:rPr>
          <w:rFonts w:ascii="Bookman Old Style" w:hAnsi="Bookman Old Style"/>
          <w:b/>
          <w:bCs/>
          <w:i/>
          <w:iCs/>
          <w:sz w:val="26"/>
          <w:szCs w:val="26"/>
          <w:lang w:val="el-GR"/>
        </w:rPr>
        <w:t xml:space="preserve"> </w:t>
      </w:r>
      <w:r w:rsidRPr="001B1B75">
        <w:rPr>
          <w:rFonts w:ascii="Bookman Old Style" w:hAnsi="Bookman Old Style"/>
          <w:b/>
          <w:bCs/>
          <w:i/>
          <w:iCs/>
          <w:sz w:val="26"/>
          <w:szCs w:val="26"/>
        </w:rPr>
        <w:t>Consolidator</w:t>
      </w:r>
      <w:r w:rsidRPr="001B1B75">
        <w:rPr>
          <w:rFonts w:ascii="Bookman Old Style" w:hAnsi="Bookman Old Style"/>
          <w:b/>
          <w:bCs/>
          <w:i/>
          <w:iCs/>
          <w:sz w:val="26"/>
          <w:szCs w:val="26"/>
          <w:lang w:val="el-GR"/>
        </w:rPr>
        <w:t xml:space="preserve"> </w:t>
      </w:r>
      <w:r w:rsidRPr="001B1B75">
        <w:rPr>
          <w:rFonts w:ascii="Bookman Old Style" w:hAnsi="Bookman Old Style"/>
          <w:b/>
          <w:bCs/>
          <w:i/>
          <w:iCs/>
          <w:sz w:val="26"/>
          <w:szCs w:val="26"/>
        </w:rPr>
        <w:t>Public</w:t>
      </w:r>
      <w:r w:rsidRPr="001B1B75">
        <w:rPr>
          <w:rFonts w:ascii="Bookman Old Style" w:hAnsi="Bookman Old Style"/>
          <w:b/>
          <w:bCs/>
          <w:i/>
          <w:iCs/>
          <w:sz w:val="26"/>
          <w:szCs w:val="26"/>
          <w:lang w:val="el-GR"/>
        </w:rPr>
        <w:t xml:space="preserve"> </w:t>
      </w:r>
      <w:r w:rsidRPr="001B1B75">
        <w:rPr>
          <w:rFonts w:ascii="Bookman Old Style" w:hAnsi="Bookman Old Style"/>
          <w:b/>
          <w:bCs/>
          <w:i/>
          <w:iCs/>
          <w:sz w:val="26"/>
          <w:szCs w:val="26"/>
        </w:rPr>
        <w:t>Ltd</w:t>
      </w:r>
      <w:r w:rsidRPr="001B1B75">
        <w:rPr>
          <w:rFonts w:ascii="Bookman Old Style" w:hAnsi="Bookman Old Style"/>
          <w:b/>
          <w:bCs/>
          <w:i/>
          <w:iCs/>
          <w:sz w:val="26"/>
          <w:szCs w:val="26"/>
          <w:lang w:val="el-GR"/>
        </w:rPr>
        <w:t xml:space="preserve"> (2006) 1 Α.Α.Δ. 464</w:t>
      </w:r>
      <w:proofErr w:type="gramStart"/>
      <w:r w:rsidRPr="001B1B75">
        <w:rPr>
          <w:rFonts w:ascii="Bookman Old Style" w:hAnsi="Bookman Old Style"/>
          <w:i/>
          <w:iCs/>
          <w:sz w:val="26"/>
          <w:szCs w:val="26"/>
          <w:lang w:val="el-GR"/>
        </w:rPr>
        <w:t>)</w:t>
      </w:r>
      <w:r w:rsidRPr="001B1B75">
        <w:rPr>
          <w:rFonts w:ascii="Bookman Old Style" w:hAnsi="Bookman Old Style"/>
          <w:sz w:val="26"/>
          <w:szCs w:val="26"/>
          <w:lang w:val="el-GR"/>
        </w:rPr>
        <w:t>.»</w:t>
      </w:r>
      <w:proofErr w:type="gramEnd"/>
    </w:p>
    <w:p w14:paraId="480D735A" w14:textId="5E320432" w:rsidR="000D32CD" w:rsidRPr="001B1B75" w:rsidRDefault="000D32CD" w:rsidP="001B1B75">
      <w:pPr>
        <w:spacing w:line="276" w:lineRule="auto"/>
        <w:ind w:right="-35"/>
        <w:jc w:val="both"/>
        <w:rPr>
          <w:rFonts w:ascii="Bookman Old Style" w:hAnsi="Bookman Old Style" w:cs="Arial"/>
          <w:b/>
          <w:bCs/>
          <w:i/>
          <w:iCs/>
          <w:sz w:val="26"/>
          <w:szCs w:val="26"/>
          <w:lang w:val="el-GR"/>
        </w:rPr>
      </w:pPr>
    </w:p>
    <w:p w14:paraId="60467956" w14:textId="77777777" w:rsidR="00FA5F0D" w:rsidRPr="001B1B75" w:rsidRDefault="00FA5F0D" w:rsidP="001B1B75">
      <w:pPr>
        <w:spacing w:line="276" w:lineRule="auto"/>
        <w:ind w:left="426" w:right="390"/>
        <w:jc w:val="both"/>
        <w:rPr>
          <w:rFonts w:ascii="Bookman Old Style" w:hAnsi="Bookman Old Style" w:cs="Arial"/>
          <w:sz w:val="26"/>
          <w:szCs w:val="26"/>
          <w:lang w:val="el-GR"/>
        </w:rPr>
      </w:pPr>
    </w:p>
    <w:p w14:paraId="2B9A5BDF" w14:textId="28CE69D9" w:rsidR="00FA5F0D" w:rsidRDefault="00627467" w:rsidP="00627467">
      <w:pPr>
        <w:spacing w:line="480" w:lineRule="auto"/>
        <w:ind w:right="107"/>
        <w:jc w:val="both"/>
        <w:rPr>
          <w:rFonts w:ascii="Bookman Old Style" w:hAnsi="Bookman Old Style" w:cs="Arial"/>
          <w:sz w:val="28"/>
          <w:szCs w:val="28"/>
          <w:lang w:val="el-GR"/>
        </w:rPr>
      </w:pPr>
      <w:r w:rsidRPr="00627467">
        <w:rPr>
          <w:rFonts w:ascii="Bookman Old Style" w:hAnsi="Bookman Old Style" w:cs="Arial"/>
          <w:sz w:val="28"/>
          <w:szCs w:val="28"/>
          <w:lang w:val="el-GR"/>
        </w:rPr>
        <w:t xml:space="preserve">Όπως έχει τονισθεί στην υπόθεση </w:t>
      </w:r>
      <w:r w:rsidRPr="00627467">
        <w:rPr>
          <w:rFonts w:ascii="Bookman Old Style" w:hAnsi="Bookman Old Style" w:cs="Arial"/>
          <w:b/>
          <w:bCs/>
          <w:i/>
          <w:iCs/>
          <w:sz w:val="28"/>
          <w:szCs w:val="28"/>
          <w:lang w:val="el-GR"/>
        </w:rPr>
        <w:t>«Σύνδεσμος για Πρόληψη της Βίας στα Γήπεδα</w:t>
      </w:r>
      <w:r w:rsidRPr="00FA46CF">
        <w:rPr>
          <w:rFonts w:ascii="Bookman Old Style" w:hAnsi="Bookman Old Style" w:cs="Arial"/>
          <w:b/>
          <w:bCs/>
          <w:i/>
          <w:iCs/>
          <w:sz w:val="28"/>
          <w:szCs w:val="28"/>
          <w:lang w:val="el-GR"/>
        </w:rPr>
        <w:t>»</w:t>
      </w:r>
      <w:r w:rsidR="00E35696">
        <w:rPr>
          <w:rFonts w:ascii="Bookman Old Style" w:hAnsi="Bookman Old Style" w:cs="Arial"/>
          <w:b/>
          <w:bCs/>
          <w:i/>
          <w:iCs/>
          <w:sz w:val="28"/>
          <w:szCs w:val="28"/>
          <w:lang w:val="el-GR"/>
        </w:rPr>
        <w:t xml:space="preserve"> (1997) 1(Β) Α.Α.Δ. 1014</w:t>
      </w:r>
      <w:r w:rsidR="00E35696">
        <w:rPr>
          <w:rFonts w:ascii="Bookman Old Style" w:hAnsi="Bookman Old Style" w:cs="Arial"/>
          <w:sz w:val="28"/>
          <w:szCs w:val="28"/>
          <w:lang w:val="el-GR"/>
        </w:rPr>
        <w:t xml:space="preserve">, </w:t>
      </w:r>
      <w:r w:rsidRPr="00627467">
        <w:rPr>
          <w:rFonts w:ascii="Bookman Old Style" w:hAnsi="Bookman Old Style" w:cs="Arial"/>
          <w:sz w:val="28"/>
          <w:szCs w:val="28"/>
          <w:lang w:val="el-GR"/>
        </w:rPr>
        <w:t xml:space="preserve">ένα ένταλμα έρευνας στοχεύει στην ανεύρεση και κατάσχεση πραγμάτων. Προκειμένου δε να εκδοθεί ένταλμα έρευνας με βάση το </w:t>
      </w:r>
      <w:r w:rsidRPr="00627467">
        <w:rPr>
          <w:rFonts w:ascii="Bookman Old Style" w:hAnsi="Bookman Old Style" w:cs="Arial"/>
          <w:b/>
          <w:bCs/>
          <w:i/>
          <w:iCs/>
          <w:sz w:val="28"/>
          <w:szCs w:val="28"/>
          <w:lang w:val="el-GR"/>
        </w:rPr>
        <w:t>Άρθρο 27</w:t>
      </w:r>
      <w:r w:rsidRPr="00627467">
        <w:rPr>
          <w:rFonts w:ascii="Bookman Old Style" w:hAnsi="Bookman Old Style" w:cs="Arial"/>
          <w:i/>
          <w:iCs/>
          <w:sz w:val="28"/>
          <w:szCs w:val="28"/>
          <w:lang w:val="el-GR"/>
        </w:rPr>
        <w:t xml:space="preserve"> </w:t>
      </w:r>
      <w:r w:rsidRPr="00E35696">
        <w:rPr>
          <w:rFonts w:ascii="Bookman Old Style" w:hAnsi="Bookman Old Style" w:cs="Arial"/>
          <w:sz w:val="28"/>
          <w:szCs w:val="28"/>
          <w:lang w:val="el-GR"/>
        </w:rPr>
        <w:t>του</w:t>
      </w:r>
      <w:r w:rsidRPr="00627467">
        <w:rPr>
          <w:rFonts w:ascii="Bookman Old Style" w:hAnsi="Bookman Old Style" w:cs="Arial"/>
          <w:i/>
          <w:iCs/>
          <w:sz w:val="28"/>
          <w:szCs w:val="28"/>
          <w:lang w:val="el-GR"/>
        </w:rPr>
        <w:t xml:space="preserve"> </w:t>
      </w:r>
      <w:r w:rsidRPr="00627467">
        <w:rPr>
          <w:rFonts w:ascii="Bookman Old Style" w:hAnsi="Bookman Old Style" w:cs="Arial"/>
          <w:b/>
          <w:bCs/>
          <w:i/>
          <w:iCs/>
          <w:sz w:val="28"/>
          <w:szCs w:val="28"/>
          <w:lang w:val="el-GR"/>
        </w:rPr>
        <w:t>Κεφ. 155</w:t>
      </w:r>
      <w:r w:rsidRPr="00627467">
        <w:rPr>
          <w:rFonts w:ascii="Bookman Old Style" w:hAnsi="Bookman Old Style" w:cs="Arial"/>
          <w:sz w:val="28"/>
          <w:szCs w:val="28"/>
          <w:lang w:val="el-GR"/>
        </w:rPr>
        <w:t xml:space="preserve">, θα πρέπει να στοιχειοθετηθεί η ύπαρξη εύλογης αιτίας </w:t>
      </w:r>
      <w:proofErr w:type="spellStart"/>
      <w:r w:rsidRPr="00627467">
        <w:rPr>
          <w:rFonts w:ascii="Bookman Old Style" w:hAnsi="Bookman Old Style" w:cs="Arial"/>
          <w:sz w:val="28"/>
          <w:szCs w:val="28"/>
          <w:lang w:val="el-GR"/>
        </w:rPr>
        <w:t>συναρτημένης</w:t>
      </w:r>
      <w:proofErr w:type="spellEnd"/>
      <w:r w:rsidRPr="00627467">
        <w:rPr>
          <w:rFonts w:ascii="Bookman Old Style" w:hAnsi="Bookman Old Style" w:cs="Arial"/>
          <w:sz w:val="28"/>
          <w:szCs w:val="28"/>
          <w:lang w:val="el-GR"/>
        </w:rPr>
        <w:t xml:space="preserve"> προς τα αντικείμενα για τα οποία επιδιώκεται η ανεύρεση ώστε να τεκμηριώνεται η απαραίτητη προϋπόθεση δικαιοδοτικής φύσεως.</w:t>
      </w:r>
    </w:p>
    <w:p w14:paraId="41F6552E" w14:textId="77777777" w:rsidR="00627467" w:rsidRDefault="00627467" w:rsidP="00627467">
      <w:pPr>
        <w:spacing w:line="480" w:lineRule="auto"/>
        <w:ind w:right="107"/>
        <w:jc w:val="both"/>
        <w:rPr>
          <w:rFonts w:ascii="Bookman Old Style" w:hAnsi="Bookman Old Style" w:cs="Arial"/>
          <w:sz w:val="28"/>
          <w:szCs w:val="28"/>
          <w:lang w:val="el-GR"/>
        </w:rPr>
      </w:pPr>
    </w:p>
    <w:p w14:paraId="347BFE6A" w14:textId="24E0BC81" w:rsidR="00950723" w:rsidRPr="00E35696" w:rsidRDefault="00627467" w:rsidP="00950723">
      <w:pPr>
        <w:spacing w:line="480" w:lineRule="auto"/>
        <w:ind w:right="107"/>
        <w:jc w:val="both"/>
        <w:rPr>
          <w:rFonts w:ascii="Bookman Old Style" w:hAnsi="Bookman Old Style" w:cs="Arial"/>
          <w:sz w:val="28"/>
          <w:szCs w:val="28"/>
          <w:lang w:val="el-GR"/>
        </w:rPr>
      </w:pPr>
      <w:r w:rsidRPr="00FA46CF">
        <w:rPr>
          <w:rFonts w:ascii="Bookman Old Style" w:hAnsi="Bookman Old Style"/>
          <w:color w:val="000000"/>
          <w:sz w:val="28"/>
          <w:szCs w:val="28"/>
          <w:lang w:val="el-GR"/>
        </w:rPr>
        <w:t xml:space="preserve">Στο στάδιο αυτό, το Ανώτατο Δικαστήριο δεν υπεισέρχεται στην  ουσία, ούτε και εξετάζει την υπόθεση σε βάθος. </w:t>
      </w:r>
      <w:r w:rsidR="00950723" w:rsidRPr="00FA46CF">
        <w:rPr>
          <w:rFonts w:ascii="Bookman Old Style" w:hAnsi="Bookman Old Style" w:cs="Arial"/>
          <w:sz w:val="28"/>
          <w:szCs w:val="28"/>
          <w:lang w:val="el-GR"/>
        </w:rPr>
        <w:t>Εξετάζει μόνο αν από το μαρτυρικό υλικό που τίθεται ενώπιον του υπάρχει συζητήσιμο θέμα που να δικαιολογεί τη χορήγηση της αιτούμενης άδειας (</w:t>
      </w:r>
      <w:r w:rsidR="00950723" w:rsidRPr="00FA46CF">
        <w:rPr>
          <w:rFonts w:ascii="Bookman Old Style" w:hAnsi="Bookman Old Style" w:cs="Arial"/>
          <w:b/>
          <w:bCs/>
          <w:i/>
          <w:iCs/>
          <w:sz w:val="28"/>
          <w:szCs w:val="28"/>
        </w:rPr>
        <w:t>Ex</w:t>
      </w:r>
      <w:r w:rsidR="00950723" w:rsidRPr="00FA46CF">
        <w:rPr>
          <w:rFonts w:ascii="Bookman Old Style" w:hAnsi="Bookman Old Style" w:cs="Arial"/>
          <w:b/>
          <w:bCs/>
          <w:i/>
          <w:iCs/>
          <w:sz w:val="28"/>
          <w:szCs w:val="28"/>
          <w:lang w:val="el-GR"/>
        </w:rPr>
        <w:t>-</w:t>
      </w:r>
      <w:r w:rsidR="00950723" w:rsidRPr="00FA46CF">
        <w:rPr>
          <w:rFonts w:ascii="Bookman Old Style" w:hAnsi="Bookman Old Style" w:cs="Arial"/>
          <w:b/>
          <w:bCs/>
          <w:i/>
          <w:iCs/>
          <w:sz w:val="28"/>
          <w:szCs w:val="28"/>
        </w:rPr>
        <w:t>parte</w:t>
      </w:r>
      <w:r w:rsidR="00950723" w:rsidRPr="00FA46CF">
        <w:rPr>
          <w:rFonts w:ascii="Bookman Old Style" w:hAnsi="Bookman Old Style" w:cs="Arial"/>
          <w:b/>
          <w:bCs/>
          <w:i/>
          <w:iCs/>
          <w:sz w:val="28"/>
          <w:szCs w:val="28"/>
          <w:lang w:val="el-GR"/>
        </w:rPr>
        <w:t xml:space="preserve"> </w:t>
      </w:r>
      <w:r w:rsidR="00950723" w:rsidRPr="00FA46CF">
        <w:rPr>
          <w:rFonts w:ascii="Bookman Old Style" w:hAnsi="Bookman Old Style" w:cs="Arial"/>
          <w:b/>
          <w:bCs/>
          <w:i/>
          <w:iCs/>
          <w:sz w:val="28"/>
          <w:szCs w:val="28"/>
        </w:rPr>
        <w:t>Costas</w:t>
      </w:r>
      <w:r w:rsidR="00950723" w:rsidRPr="00FA46CF">
        <w:rPr>
          <w:rFonts w:ascii="Bookman Old Style" w:hAnsi="Bookman Old Style" w:cs="Arial"/>
          <w:b/>
          <w:bCs/>
          <w:i/>
          <w:iCs/>
          <w:sz w:val="28"/>
          <w:szCs w:val="28"/>
          <w:lang w:val="el-GR"/>
        </w:rPr>
        <w:t xml:space="preserve"> </w:t>
      </w:r>
      <w:r w:rsidR="00950723" w:rsidRPr="00FA46CF">
        <w:rPr>
          <w:rFonts w:ascii="Bookman Old Style" w:hAnsi="Bookman Old Style" w:cs="Arial"/>
          <w:b/>
          <w:bCs/>
          <w:i/>
          <w:iCs/>
          <w:sz w:val="28"/>
          <w:szCs w:val="28"/>
        </w:rPr>
        <w:t>Papadopoulos</w:t>
      </w:r>
      <w:r w:rsidR="00E35696">
        <w:rPr>
          <w:rFonts w:ascii="Bookman Old Style" w:hAnsi="Bookman Old Style" w:cs="Arial"/>
          <w:b/>
          <w:bCs/>
          <w:i/>
          <w:iCs/>
          <w:sz w:val="28"/>
          <w:szCs w:val="28"/>
          <w:lang w:val="el-GR"/>
        </w:rPr>
        <w:t xml:space="preserve"> (1968) </w:t>
      </w:r>
      <w:r w:rsidR="00E35696" w:rsidRPr="00E35696">
        <w:rPr>
          <w:rFonts w:ascii="Bookman Old Style" w:hAnsi="Bookman Old Style" w:cs="Arial"/>
          <w:b/>
          <w:bCs/>
          <w:i/>
          <w:iCs/>
          <w:sz w:val="28"/>
          <w:szCs w:val="28"/>
          <w:lang w:val="el-GR"/>
        </w:rPr>
        <w:t xml:space="preserve">1 </w:t>
      </w:r>
      <w:r w:rsidR="00E35696">
        <w:rPr>
          <w:rFonts w:ascii="Bookman Old Style" w:hAnsi="Bookman Old Style" w:cs="Arial"/>
          <w:b/>
          <w:bCs/>
          <w:i/>
          <w:iCs/>
          <w:sz w:val="28"/>
          <w:szCs w:val="28"/>
          <w:lang w:val="el-GR"/>
        </w:rPr>
        <w:t xml:space="preserve">C.L.R. 496, </w:t>
      </w:r>
      <w:r w:rsidR="00950723" w:rsidRPr="00FA46CF">
        <w:rPr>
          <w:rFonts w:ascii="Bookman Old Style" w:hAnsi="Bookman Old Style" w:cs="Arial"/>
          <w:b/>
          <w:bCs/>
          <w:i/>
          <w:iCs/>
          <w:sz w:val="28"/>
          <w:szCs w:val="28"/>
        </w:rPr>
        <w:t>In</w:t>
      </w:r>
      <w:r w:rsidR="00950723" w:rsidRPr="00E35696">
        <w:rPr>
          <w:rFonts w:ascii="Bookman Old Style" w:hAnsi="Bookman Old Style" w:cs="Arial"/>
          <w:b/>
          <w:bCs/>
          <w:i/>
          <w:iCs/>
          <w:sz w:val="28"/>
          <w:szCs w:val="28"/>
          <w:lang w:val="el-GR"/>
        </w:rPr>
        <w:t xml:space="preserve"> </w:t>
      </w:r>
      <w:r w:rsidR="00950723" w:rsidRPr="00FA46CF">
        <w:rPr>
          <w:rFonts w:ascii="Bookman Old Style" w:hAnsi="Bookman Old Style" w:cs="Arial"/>
          <w:b/>
          <w:bCs/>
          <w:i/>
          <w:iCs/>
          <w:sz w:val="28"/>
          <w:szCs w:val="28"/>
        </w:rPr>
        <w:t>re</w:t>
      </w:r>
      <w:r w:rsidR="00950723" w:rsidRPr="00E35696">
        <w:rPr>
          <w:rFonts w:ascii="Bookman Old Style" w:hAnsi="Bookman Old Style" w:cs="Arial"/>
          <w:b/>
          <w:bCs/>
          <w:i/>
          <w:iCs/>
          <w:sz w:val="28"/>
          <w:szCs w:val="28"/>
          <w:lang w:val="el-GR"/>
        </w:rPr>
        <w:t xml:space="preserve"> </w:t>
      </w:r>
      <w:r w:rsidR="00950723" w:rsidRPr="00FA46CF">
        <w:rPr>
          <w:rFonts w:ascii="Bookman Old Style" w:hAnsi="Bookman Old Style" w:cs="Arial"/>
          <w:b/>
          <w:bCs/>
          <w:i/>
          <w:iCs/>
          <w:sz w:val="28"/>
          <w:szCs w:val="28"/>
        </w:rPr>
        <w:t>Kakos</w:t>
      </w:r>
      <w:r w:rsidR="00E35696" w:rsidRPr="00E35696">
        <w:rPr>
          <w:rFonts w:ascii="Bookman Old Style" w:hAnsi="Bookman Old Style" w:cs="Arial"/>
          <w:b/>
          <w:bCs/>
          <w:i/>
          <w:iCs/>
          <w:sz w:val="28"/>
          <w:szCs w:val="28"/>
          <w:lang w:val="el-GR"/>
        </w:rPr>
        <w:t xml:space="preserve"> </w:t>
      </w:r>
      <w:r w:rsidR="00E35696">
        <w:rPr>
          <w:rFonts w:ascii="Bookman Old Style" w:hAnsi="Bookman Old Style" w:cs="Arial"/>
          <w:b/>
          <w:bCs/>
          <w:i/>
          <w:iCs/>
          <w:sz w:val="28"/>
          <w:szCs w:val="28"/>
          <w:lang w:val="el-GR"/>
        </w:rPr>
        <w:t xml:space="preserve">(1985) 1 C.L.R. 250, </w:t>
      </w:r>
      <w:r w:rsidR="00950723" w:rsidRPr="00FA46CF">
        <w:rPr>
          <w:rFonts w:ascii="Bookman Old Style" w:hAnsi="Bookman Old Style"/>
          <w:b/>
          <w:bCs/>
          <w:i/>
          <w:iCs/>
          <w:sz w:val="28"/>
          <w:szCs w:val="28"/>
          <w:lang w:val="el-GR"/>
        </w:rPr>
        <w:t>Ανθίμου</w:t>
      </w:r>
      <w:r w:rsidR="00E35696">
        <w:rPr>
          <w:rFonts w:ascii="Bookman Old Style" w:hAnsi="Bookman Old Style"/>
          <w:b/>
          <w:bCs/>
          <w:i/>
          <w:iCs/>
          <w:sz w:val="28"/>
          <w:szCs w:val="28"/>
          <w:lang w:val="el-GR"/>
        </w:rPr>
        <w:t xml:space="preserve"> (1991) 1 Α.Α.Δ. 41</w:t>
      </w:r>
      <w:r w:rsidR="00950723" w:rsidRPr="00E35696">
        <w:rPr>
          <w:rFonts w:ascii="Bookman Old Style" w:hAnsi="Bookman Old Style"/>
          <w:b/>
          <w:bCs/>
          <w:i/>
          <w:iCs/>
          <w:sz w:val="28"/>
          <w:szCs w:val="28"/>
          <w:lang w:val="el-GR"/>
        </w:rPr>
        <w:t xml:space="preserve"> </w:t>
      </w:r>
      <w:r w:rsidR="00950723" w:rsidRPr="00FA46CF">
        <w:rPr>
          <w:rFonts w:ascii="Bookman Old Style" w:hAnsi="Bookman Old Style" w:cs="Arial"/>
          <w:sz w:val="28"/>
          <w:szCs w:val="28"/>
          <w:lang w:val="el-GR"/>
        </w:rPr>
        <w:t>και</w:t>
      </w:r>
      <w:r w:rsidR="00950723" w:rsidRPr="00E35696">
        <w:rPr>
          <w:rFonts w:ascii="Bookman Old Style" w:hAnsi="Bookman Old Style" w:cs="Arial"/>
          <w:b/>
          <w:bCs/>
          <w:i/>
          <w:iCs/>
          <w:sz w:val="28"/>
          <w:szCs w:val="28"/>
          <w:lang w:val="el-GR"/>
        </w:rPr>
        <w:t xml:space="preserve"> </w:t>
      </w:r>
      <w:proofErr w:type="spellStart"/>
      <w:r w:rsidR="00950723" w:rsidRPr="00FA46CF">
        <w:rPr>
          <w:rFonts w:ascii="Bookman Old Style" w:hAnsi="Bookman Old Style" w:cs="Arial"/>
          <w:b/>
          <w:bCs/>
          <w:i/>
          <w:iCs/>
          <w:sz w:val="28"/>
          <w:szCs w:val="28"/>
        </w:rPr>
        <w:t>Sidnell</w:t>
      </w:r>
      <w:proofErr w:type="spellEnd"/>
      <w:r w:rsidR="00950723" w:rsidRPr="00E35696">
        <w:rPr>
          <w:rFonts w:ascii="Bookman Old Style" w:hAnsi="Bookman Old Style" w:cs="Arial"/>
          <w:b/>
          <w:bCs/>
          <w:i/>
          <w:iCs/>
          <w:sz w:val="28"/>
          <w:szCs w:val="28"/>
          <w:lang w:val="el-GR"/>
        </w:rPr>
        <w:t xml:space="preserve"> </w:t>
      </w:r>
      <w:r w:rsidR="00950723" w:rsidRPr="00FA46CF">
        <w:rPr>
          <w:rFonts w:ascii="Bookman Old Style" w:hAnsi="Bookman Old Style" w:cs="Arial"/>
          <w:b/>
          <w:bCs/>
          <w:i/>
          <w:iCs/>
          <w:sz w:val="28"/>
          <w:szCs w:val="28"/>
        </w:rPr>
        <w:t>v</w:t>
      </w:r>
      <w:r w:rsidR="00950723" w:rsidRPr="00E35696">
        <w:rPr>
          <w:rFonts w:ascii="Bookman Old Style" w:hAnsi="Bookman Old Style" w:cs="Arial"/>
          <w:b/>
          <w:bCs/>
          <w:i/>
          <w:iCs/>
          <w:sz w:val="28"/>
          <w:szCs w:val="28"/>
          <w:lang w:val="el-GR"/>
        </w:rPr>
        <w:t xml:space="preserve">. </w:t>
      </w:r>
      <w:r w:rsidR="00950723" w:rsidRPr="00FA46CF">
        <w:rPr>
          <w:rFonts w:ascii="Bookman Old Style" w:hAnsi="Bookman Old Style" w:cs="Arial"/>
          <w:b/>
          <w:bCs/>
          <w:i/>
          <w:iCs/>
          <w:sz w:val="28"/>
          <w:szCs w:val="28"/>
        </w:rPr>
        <w:t>Wilson</w:t>
      </w:r>
      <w:r w:rsidR="00950723" w:rsidRPr="00E35696">
        <w:rPr>
          <w:rFonts w:ascii="Bookman Old Style" w:hAnsi="Bookman Old Style" w:cs="Arial"/>
          <w:b/>
          <w:bCs/>
          <w:i/>
          <w:iCs/>
          <w:sz w:val="28"/>
          <w:szCs w:val="28"/>
          <w:lang w:val="el-GR"/>
        </w:rPr>
        <w:t xml:space="preserve"> (1966) 1 </w:t>
      </w:r>
      <w:r w:rsidR="00950723" w:rsidRPr="00FA46CF">
        <w:rPr>
          <w:rFonts w:ascii="Bookman Old Style" w:hAnsi="Bookman Old Style" w:cs="Arial"/>
          <w:b/>
          <w:bCs/>
          <w:i/>
          <w:iCs/>
          <w:sz w:val="28"/>
          <w:szCs w:val="28"/>
        </w:rPr>
        <w:t>All</w:t>
      </w:r>
      <w:r w:rsidR="00950723" w:rsidRPr="00E35696">
        <w:rPr>
          <w:rFonts w:ascii="Bookman Old Style" w:hAnsi="Bookman Old Style" w:cs="Arial"/>
          <w:b/>
          <w:bCs/>
          <w:i/>
          <w:iCs/>
          <w:sz w:val="28"/>
          <w:szCs w:val="28"/>
          <w:lang w:val="el-GR"/>
        </w:rPr>
        <w:t xml:space="preserve"> </w:t>
      </w:r>
      <w:r w:rsidR="00950723" w:rsidRPr="00FA46CF">
        <w:rPr>
          <w:rFonts w:ascii="Bookman Old Style" w:hAnsi="Bookman Old Style" w:cs="Arial"/>
          <w:b/>
          <w:bCs/>
          <w:i/>
          <w:iCs/>
          <w:sz w:val="28"/>
          <w:szCs w:val="28"/>
        </w:rPr>
        <w:t>E</w:t>
      </w:r>
      <w:r w:rsidR="00950723" w:rsidRPr="00E35696">
        <w:rPr>
          <w:rFonts w:ascii="Bookman Old Style" w:hAnsi="Bookman Old Style" w:cs="Arial"/>
          <w:b/>
          <w:bCs/>
          <w:i/>
          <w:iCs/>
          <w:sz w:val="28"/>
          <w:szCs w:val="28"/>
          <w:lang w:val="el-GR"/>
        </w:rPr>
        <w:t>.</w:t>
      </w:r>
      <w:r w:rsidR="00950723" w:rsidRPr="00FA46CF">
        <w:rPr>
          <w:rFonts w:ascii="Bookman Old Style" w:hAnsi="Bookman Old Style" w:cs="Arial"/>
          <w:b/>
          <w:bCs/>
          <w:i/>
          <w:iCs/>
          <w:sz w:val="28"/>
          <w:szCs w:val="28"/>
        </w:rPr>
        <w:t>R</w:t>
      </w:r>
      <w:r w:rsidR="00950723" w:rsidRPr="00E35696">
        <w:rPr>
          <w:rFonts w:ascii="Bookman Old Style" w:hAnsi="Bookman Old Style" w:cs="Arial"/>
          <w:b/>
          <w:bCs/>
          <w:i/>
          <w:iCs/>
          <w:sz w:val="28"/>
          <w:szCs w:val="28"/>
          <w:lang w:val="el-GR"/>
        </w:rPr>
        <w:t>. 681</w:t>
      </w:r>
      <w:r w:rsidR="00950723" w:rsidRPr="00E35696">
        <w:rPr>
          <w:rFonts w:ascii="Bookman Old Style" w:hAnsi="Bookman Old Style" w:cs="Arial"/>
          <w:sz w:val="28"/>
          <w:szCs w:val="28"/>
          <w:lang w:val="el-GR"/>
        </w:rPr>
        <w:t>).</w:t>
      </w:r>
    </w:p>
    <w:p w14:paraId="14FDBB4D" w14:textId="77777777" w:rsidR="00FA46CF" w:rsidRPr="00E35696" w:rsidRDefault="00FA46CF" w:rsidP="00950723">
      <w:pPr>
        <w:spacing w:line="480" w:lineRule="auto"/>
        <w:ind w:right="107"/>
        <w:jc w:val="both"/>
        <w:rPr>
          <w:rFonts w:ascii="Bookman Old Style" w:hAnsi="Bookman Old Style" w:cs="Arial"/>
          <w:sz w:val="28"/>
          <w:szCs w:val="28"/>
          <w:lang w:val="el-GR"/>
        </w:rPr>
      </w:pPr>
    </w:p>
    <w:p w14:paraId="5ED3B500" w14:textId="3F61EB31" w:rsidR="00FA46CF" w:rsidRPr="00FA46CF" w:rsidRDefault="00FA46CF" w:rsidP="00FA46CF">
      <w:pPr>
        <w:spacing w:line="480" w:lineRule="auto"/>
        <w:ind w:right="-35"/>
        <w:jc w:val="both"/>
        <w:rPr>
          <w:rFonts w:ascii="Bookman Old Style" w:hAnsi="Bookman Old Style" w:cs="Arial"/>
          <w:sz w:val="28"/>
          <w:szCs w:val="28"/>
          <w:lang w:val="el-GR"/>
        </w:rPr>
      </w:pPr>
      <w:r w:rsidRPr="00FA46CF">
        <w:rPr>
          <w:rFonts w:ascii="Bookman Old Style" w:hAnsi="Bookman Old Style" w:cs="Arial"/>
          <w:sz w:val="28"/>
          <w:szCs w:val="28"/>
          <w:lang w:val="el-GR"/>
        </w:rPr>
        <w:t xml:space="preserve">Υπό το φως των πιο πάνω, βρίσκω ότι υπάρχει συζητήσιμο θέμα σε σχέση με τα ζητήματα που εγείρονται στους </w:t>
      </w:r>
      <w:r w:rsidRPr="00FA46CF">
        <w:rPr>
          <w:rFonts w:ascii="Bookman Old Style" w:hAnsi="Bookman Old Style" w:cs="Arial"/>
          <w:b/>
          <w:bCs/>
          <w:sz w:val="28"/>
          <w:szCs w:val="28"/>
          <w:lang w:val="el-GR"/>
        </w:rPr>
        <w:t>Λόγους 1</w:t>
      </w:r>
      <w:r w:rsidRPr="00FA46CF">
        <w:rPr>
          <w:rFonts w:ascii="Bookman Old Style" w:hAnsi="Bookman Old Style" w:cs="Arial"/>
          <w:sz w:val="28"/>
          <w:szCs w:val="28"/>
          <w:lang w:val="el-GR"/>
        </w:rPr>
        <w:t xml:space="preserve"> και</w:t>
      </w:r>
      <w:r w:rsidRPr="00FA46CF">
        <w:rPr>
          <w:rFonts w:ascii="Bookman Old Style" w:hAnsi="Bookman Old Style" w:cs="Arial"/>
          <w:b/>
          <w:bCs/>
          <w:sz w:val="28"/>
          <w:szCs w:val="28"/>
          <w:lang w:val="el-GR"/>
        </w:rPr>
        <w:t xml:space="preserve"> 2</w:t>
      </w:r>
      <w:r w:rsidRPr="00FA46CF">
        <w:rPr>
          <w:rFonts w:ascii="Bookman Old Style" w:hAnsi="Bookman Old Style" w:cs="Arial"/>
          <w:sz w:val="28"/>
          <w:szCs w:val="28"/>
          <w:lang w:val="el-GR"/>
        </w:rPr>
        <w:t xml:space="preserve"> ώστε να χορηγηθεί στο </w:t>
      </w:r>
      <w:r>
        <w:rPr>
          <w:rFonts w:ascii="Bookman Old Style" w:hAnsi="Bookman Old Style" w:cs="Arial"/>
          <w:sz w:val="28"/>
          <w:szCs w:val="28"/>
          <w:lang w:val="el-GR"/>
        </w:rPr>
        <w:t>Γενικό Εισαγγελέα</w:t>
      </w:r>
      <w:r w:rsidRPr="00FA46CF">
        <w:rPr>
          <w:rFonts w:ascii="Bookman Old Style" w:hAnsi="Bookman Old Style" w:cs="Arial"/>
          <w:sz w:val="28"/>
          <w:szCs w:val="28"/>
          <w:lang w:val="el-GR"/>
        </w:rPr>
        <w:t xml:space="preserve"> άδεια για να καταχωρίσει αίτηση για </w:t>
      </w:r>
      <w:r w:rsidRPr="00FA46CF">
        <w:rPr>
          <w:rFonts w:ascii="Bookman Old Style" w:hAnsi="Bookman Old Style" w:cs="Arial"/>
          <w:b/>
          <w:bCs/>
          <w:i/>
          <w:iCs/>
          <w:sz w:val="28"/>
          <w:szCs w:val="28"/>
          <w:lang w:val="en-US"/>
        </w:rPr>
        <w:t>Certiorari</w:t>
      </w:r>
      <w:r w:rsidRPr="00FA46CF">
        <w:rPr>
          <w:rFonts w:ascii="Bookman Old Style" w:hAnsi="Bookman Old Style" w:cs="Arial"/>
          <w:b/>
          <w:bCs/>
          <w:i/>
          <w:iCs/>
          <w:sz w:val="28"/>
          <w:szCs w:val="28"/>
          <w:lang w:val="el-GR"/>
        </w:rPr>
        <w:t xml:space="preserve"> </w:t>
      </w:r>
      <w:r w:rsidRPr="00FA46CF">
        <w:rPr>
          <w:rFonts w:ascii="Bookman Old Style" w:hAnsi="Bookman Old Style" w:cs="Arial"/>
          <w:sz w:val="28"/>
          <w:szCs w:val="28"/>
          <w:lang w:val="el-GR"/>
        </w:rPr>
        <w:t xml:space="preserve">για ακύρωση της Απόφασης του </w:t>
      </w:r>
      <w:r>
        <w:rPr>
          <w:rFonts w:ascii="Bookman Old Style" w:hAnsi="Bookman Old Style" w:cs="Arial"/>
          <w:sz w:val="28"/>
          <w:szCs w:val="28"/>
          <w:lang w:val="el-GR"/>
        </w:rPr>
        <w:t xml:space="preserve">Κατώτερου </w:t>
      </w:r>
      <w:r w:rsidRPr="00FA46CF">
        <w:rPr>
          <w:rFonts w:ascii="Bookman Old Style" w:hAnsi="Bookman Old Style" w:cs="Arial"/>
          <w:sz w:val="28"/>
          <w:szCs w:val="28"/>
          <w:lang w:val="el-GR"/>
        </w:rPr>
        <w:t xml:space="preserve">Δικαστηρίου, </w:t>
      </w:r>
      <w:proofErr w:type="spellStart"/>
      <w:r w:rsidRPr="00FA46CF">
        <w:rPr>
          <w:rFonts w:ascii="Bookman Old Style" w:hAnsi="Bookman Old Style" w:cs="Arial"/>
          <w:sz w:val="28"/>
          <w:szCs w:val="28"/>
          <w:lang w:val="el-GR"/>
        </w:rPr>
        <w:t>ημερ</w:t>
      </w:r>
      <w:proofErr w:type="spellEnd"/>
      <w:r w:rsidRPr="00FA46CF">
        <w:rPr>
          <w:rFonts w:ascii="Bookman Old Style" w:hAnsi="Bookman Old Style" w:cs="Arial"/>
          <w:sz w:val="28"/>
          <w:szCs w:val="28"/>
          <w:lang w:val="el-GR"/>
        </w:rPr>
        <w:t>. 9/11/2023, για τη μη έκδοση Εντάλματος Έρευνας της οικίας, των υποστατικών και του οχήματος του Κ</w:t>
      </w:r>
      <w:r w:rsidR="00613AAD">
        <w:rPr>
          <w:rFonts w:ascii="Bookman Old Style" w:hAnsi="Bookman Old Style" w:cs="Arial"/>
          <w:sz w:val="28"/>
          <w:szCs w:val="28"/>
          <w:lang w:val="el-GR"/>
        </w:rPr>
        <w:t>.</w:t>
      </w:r>
      <w:r w:rsidRPr="00FA46CF">
        <w:rPr>
          <w:rFonts w:ascii="Bookman Old Style" w:hAnsi="Bookman Old Style" w:cs="Arial"/>
          <w:sz w:val="28"/>
          <w:szCs w:val="28"/>
          <w:lang w:val="el-GR"/>
        </w:rPr>
        <w:t>Μ</w:t>
      </w:r>
      <w:r w:rsidR="00613AAD">
        <w:rPr>
          <w:rFonts w:ascii="Bookman Old Style" w:hAnsi="Bookman Old Style" w:cs="Arial"/>
          <w:sz w:val="28"/>
          <w:szCs w:val="28"/>
          <w:lang w:val="el-GR"/>
        </w:rPr>
        <w:t>.</w:t>
      </w:r>
      <w:r w:rsidRPr="00FA46CF">
        <w:rPr>
          <w:rFonts w:ascii="Bookman Old Style" w:hAnsi="Bookman Old Style" w:cs="Arial"/>
          <w:sz w:val="28"/>
          <w:szCs w:val="28"/>
          <w:lang w:val="el-GR"/>
        </w:rPr>
        <w:t>.</w:t>
      </w:r>
      <w:r w:rsidRPr="00FA46CF">
        <w:rPr>
          <w:rFonts w:ascii="Arial" w:hAnsi="Arial" w:cs="Arial"/>
          <w:color w:val="000000"/>
          <w:sz w:val="28"/>
          <w:szCs w:val="28"/>
          <w:lang w:val="el-GR"/>
        </w:rPr>
        <w:t xml:space="preserve"> </w:t>
      </w:r>
      <w:r w:rsidRPr="00FA46CF">
        <w:rPr>
          <w:rFonts w:ascii="Bookman Old Style" w:hAnsi="Bookman Old Style" w:cs="Arial"/>
          <w:color w:val="000000"/>
          <w:sz w:val="28"/>
          <w:szCs w:val="28"/>
          <w:lang w:val="el-GR"/>
        </w:rPr>
        <w:t>Επίσης, είναι φανερό πως δεν παρέχεται άλλο ένδικο μέσο προς επιδίωξη οποιασδήποτε θεραπείας.  Ως εκ τούτου, θα παραχωρηθεί η αιτούμενη άδεια.</w:t>
      </w:r>
    </w:p>
    <w:p w14:paraId="1FA459BB" w14:textId="7AD39704" w:rsidR="00FA46CF" w:rsidRPr="00FA46CF" w:rsidRDefault="00FA46CF" w:rsidP="00950723">
      <w:pPr>
        <w:spacing w:line="480" w:lineRule="auto"/>
        <w:ind w:right="107"/>
        <w:jc w:val="both"/>
        <w:rPr>
          <w:rFonts w:ascii="Bookman Old Style" w:hAnsi="Bookman Old Style"/>
          <w:color w:val="000000"/>
          <w:sz w:val="28"/>
          <w:szCs w:val="28"/>
          <w:lang w:val="el-GR"/>
        </w:rPr>
      </w:pPr>
    </w:p>
    <w:p w14:paraId="71BFA408" w14:textId="289035B1" w:rsidR="00085A25" w:rsidRPr="0020249F" w:rsidRDefault="00E3031F" w:rsidP="00085A25">
      <w:pPr>
        <w:spacing w:line="480" w:lineRule="auto"/>
        <w:jc w:val="both"/>
        <w:rPr>
          <w:rFonts w:ascii="Bookman Old Style" w:hAnsi="Bookman Old Style" w:cs="Arial"/>
          <w:sz w:val="28"/>
          <w:szCs w:val="28"/>
          <w:lang w:val="el-GR"/>
        </w:rPr>
      </w:pPr>
      <w:r w:rsidRPr="0020249F">
        <w:rPr>
          <w:rFonts w:ascii="Bookman Old Style" w:hAnsi="Bookman Old Style" w:cs="Arial"/>
          <w:sz w:val="28"/>
          <w:szCs w:val="28"/>
          <w:lang w:val="el-GR"/>
        </w:rPr>
        <w:t xml:space="preserve">Η </w:t>
      </w:r>
      <w:r w:rsidR="00FA46CF" w:rsidRPr="0020249F">
        <w:rPr>
          <w:rFonts w:ascii="Bookman Old Style" w:hAnsi="Bookman Old Style" w:cs="Arial"/>
          <w:sz w:val="28"/>
          <w:szCs w:val="28"/>
          <w:lang w:val="el-GR"/>
        </w:rPr>
        <w:t>Α</w:t>
      </w:r>
      <w:r w:rsidRPr="0020249F">
        <w:rPr>
          <w:rFonts w:ascii="Bookman Old Style" w:hAnsi="Bookman Old Style" w:cs="Arial"/>
          <w:sz w:val="28"/>
          <w:szCs w:val="28"/>
          <w:lang w:val="el-GR"/>
        </w:rPr>
        <w:t>ίτηση</w:t>
      </w:r>
      <w:r w:rsidRPr="0020249F">
        <w:rPr>
          <w:rFonts w:ascii="Bookman Old Style" w:hAnsi="Bookman Old Style"/>
          <w:color w:val="000000"/>
          <w:sz w:val="28"/>
          <w:szCs w:val="28"/>
          <w:lang w:val="el-GR"/>
        </w:rPr>
        <w:t xml:space="preserve"> διά κλήσεως</w:t>
      </w:r>
      <w:r w:rsidRPr="0020249F">
        <w:rPr>
          <w:rFonts w:ascii="Bookman Old Style" w:hAnsi="Bookman Old Style" w:cs="Arial"/>
          <w:sz w:val="28"/>
          <w:szCs w:val="28"/>
          <w:lang w:val="el-GR"/>
        </w:rPr>
        <w:t xml:space="preserve"> να καταχωριστεί μέσα σε 5 ημέρες</w:t>
      </w:r>
      <w:r w:rsidRPr="0020249F">
        <w:rPr>
          <w:rFonts w:ascii="Bookman Old Style" w:hAnsi="Bookman Old Style"/>
          <w:color w:val="000000"/>
          <w:sz w:val="28"/>
          <w:szCs w:val="28"/>
          <w:lang w:val="el-GR"/>
        </w:rPr>
        <w:t xml:space="preserve"> από σήμερα </w:t>
      </w:r>
      <w:r w:rsidRPr="0020249F">
        <w:rPr>
          <w:rFonts w:ascii="Bookman Old Style" w:hAnsi="Bookman Old Style" w:cs="Arial"/>
          <w:sz w:val="28"/>
          <w:szCs w:val="28"/>
          <w:lang w:val="el-GR"/>
        </w:rPr>
        <w:t xml:space="preserve"> και να επιδοθεί στον Κ</w:t>
      </w:r>
      <w:r w:rsidR="00613AAD">
        <w:rPr>
          <w:rFonts w:ascii="Bookman Old Style" w:hAnsi="Bookman Old Style" w:cs="Arial"/>
          <w:sz w:val="28"/>
          <w:szCs w:val="28"/>
          <w:lang w:val="el-GR"/>
        </w:rPr>
        <w:t>.</w:t>
      </w:r>
      <w:r w:rsidRPr="0020249F">
        <w:rPr>
          <w:rFonts w:ascii="Bookman Old Style" w:hAnsi="Bookman Old Style" w:cs="Arial"/>
          <w:sz w:val="28"/>
          <w:szCs w:val="28"/>
          <w:lang w:val="el-GR"/>
        </w:rPr>
        <w:t>Μ</w:t>
      </w:r>
      <w:r w:rsidR="00613AAD">
        <w:rPr>
          <w:rFonts w:ascii="Bookman Old Style" w:hAnsi="Bookman Old Style" w:cs="Arial"/>
          <w:sz w:val="28"/>
          <w:szCs w:val="28"/>
          <w:lang w:val="el-GR"/>
        </w:rPr>
        <w:t>.</w:t>
      </w:r>
      <w:r w:rsidRPr="0020249F">
        <w:rPr>
          <w:rFonts w:ascii="Bookman Old Style" w:hAnsi="Bookman Old Style" w:cs="Arial"/>
          <w:sz w:val="28"/>
          <w:szCs w:val="28"/>
          <w:lang w:val="el-GR"/>
        </w:rPr>
        <w:t xml:space="preserve"> τουλάχιστο 4 ημέρες πριν τη δικάσιμο.  Εφόσον καταχωριστεί </w:t>
      </w:r>
      <w:r w:rsidR="00FA46CF" w:rsidRPr="0020249F">
        <w:rPr>
          <w:rFonts w:ascii="Bookman Old Style" w:hAnsi="Bookman Old Style" w:cs="Arial"/>
          <w:sz w:val="28"/>
          <w:szCs w:val="28"/>
          <w:lang w:val="el-GR"/>
        </w:rPr>
        <w:t>Α</w:t>
      </w:r>
      <w:r w:rsidRPr="0020249F">
        <w:rPr>
          <w:rFonts w:ascii="Bookman Old Style" w:hAnsi="Bookman Old Style" w:cs="Arial"/>
          <w:sz w:val="28"/>
          <w:szCs w:val="28"/>
          <w:lang w:val="el-GR"/>
        </w:rPr>
        <w:t xml:space="preserve">ίτηση ως ανωτέρω, ο Πρωτοκολλητής να την ορίσει </w:t>
      </w:r>
      <w:r w:rsidR="00FA46CF" w:rsidRPr="0020249F">
        <w:rPr>
          <w:rFonts w:ascii="Bookman Old Style" w:hAnsi="Bookman Old Style" w:cs="Arial"/>
          <w:sz w:val="28"/>
          <w:szCs w:val="28"/>
          <w:lang w:val="el-GR"/>
        </w:rPr>
        <w:t xml:space="preserve">για </w:t>
      </w:r>
      <w:r w:rsidR="00FA46CF" w:rsidRPr="00D34C72">
        <w:rPr>
          <w:rFonts w:ascii="Bookman Old Style" w:hAnsi="Bookman Old Style" w:cs="Arial"/>
          <w:b/>
          <w:bCs/>
          <w:sz w:val="28"/>
          <w:szCs w:val="28"/>
          <w:lang w:val="el-GR"/>
        </w:rPr>
        <w:t>Οδηγίες στις</w:t>
      </w:r>
      <w:r w:rsidRPr="00D34C72">
        <w:rPr>
          <w:rFonts w:ascii="Bookman Old Style" w:hAnsi="Bookman Old Style" w:cs="Arial"/>
          <w:b/>
          <w:bCs/>
          <w:sz w:val="28"/>
          <w:szCs w:val="28"/>
          <w:lang w:val="el-GR"/>
        </w:rPr>
        <w:t xml:space="preserve"> </w:t>
      </w:r>
      <w:r w:rsidR="004D76BA">
        <w:rPr>
          <w:rFonts w:ascii="Bookman Old Style" w:hAnsi="Bookman Old Style" w:cs="Arial"/>
          <w:b/>
          <w:bCs/>
          <w:sz w:val="28"/>
          <w:szCs w:val="28"/>
          <w:lang w:val="el-GR"/>
        </w:rPr>
        <w:t>25</w:t>
      </w:r>
      <w:r w:rsidRPr="00D34C72">
        <w:rPr>
          <w:rFonts w:ascii="Bookman Old Style" w:hAnsi="Bookman Old Style" w:cs="Arial"/>
          <w:b/>
          <w:bCs/>
          <w:sz w:val="28"/>
          <w:szCs w:val="28"/>
          <w:lang w:val="el-GR"/>
        </w:rPr>
        <w:t>/</w:t>
      </w:r>
      <w:r w:rsidRPr="0020249F">
        <w:rPr>
          <w:rFonts w:ascii="Bookman Old Style" w:hAnsi="Bookman Old Style" w:cs="Arial"/>
          <w:b/>
          <w:bCs/>
          <w:sz w:val="28"/>
          <w:szCs w:val="28"/>
          <w:lang w:val="el-GR"/>
        </w:rPr>
        <w:t>1/2024 η ώρα 09:00</w:t>
      </w:r>
      <w:r w:rsidRPr="0020249F">
        <w:rPr>
          <w:rFonts w:ascii="Bookman Old Style" w:hAnsi="Bookman Old Style" w:cs="Arial"/>
          <w:sz w:val="28"/>
          <w:szCs w:val="28"/>
          <w:lang w:val="el-GR"/>
        </w:rPr>
        <w:t>.</w:t>
      </w:r>
    </w:p>
    <w:p w14:paraId="042BDDDB" w14:textId="651BACC3" w:rsidR="00E3031F" w:rsidRPr="00E35696" w:rsidRDefault="00E3031F" w:rsidP="00085A25">
      <w:pPr>
        <w:spacing w:line="480" w:lineRule="auto"/>
        <w:jc w:val="both"/>
        <w:rPr>
          <w:rFonts w:ascii="Bookman Old Style" w:hAnsi="Bookman Old Style"/>
          <w:lang w:val="el-GR"/>
        </w:rPr>
      </w:pPr>
      <w:r w:rsidRPr="00E3031F">
        <w:rPr>
          <w:rFonts w:ascii="Bookman Old Style" w:hAnsi="Bookman Old Style" w:cs="Arial"/>
          <w:sz w:val="28"/>
          <w:szCs w:val="28"/>
          <w:lang w:val="el-GR"/>
        </w:rPr>
        <w:t xml:space="preserve">  </w:t>
      </w:r>
    </w:p>
    <w:p w14:paraId="2ABB426A" w14:textId="77777777" w:rsidR="00627467" w:rsidRDefault="00627467" w:rsidP="00085A25">
      <w:pPr>
        <w:spacing w:line="480" w:lineRule="auto"/>
        <w:ind w:right="107"/>
        <w:jc w:val="both"/>
        <w:rPr>
          <w:rFonts w:ascii="Bookman Old Style" w:hAnsi="Bookman Old Style" w:cs="Arial"/>
          <w:sz w:val="26"/>
          <w:szCs w:val="26"/>
          <w:lang w:val="el-GR"/>
        </w:rPr>
      </w:pPr>
    </w:p>
    <w:p w14:paraId="51E0726C" w14:textId="77777777" w:rsidR="00FA46CF" w:rsidRDefault="00FA46CF" w:rsidP="00627467">
      <w:pPr>
        <w:spacing w:line="480" w:lineRule="auto"/>
        <w:ind w:right="107"/>
        <w:jc w:val="both"/>
        <w:rPr>
          <w:rFonts w:ascii="Bookman Old Style" w:hAnsi="Bookman Old Style" w:cs="Arial"/>
          <w:sz w:val="26"/>
          <w:szCs w:val="26"/>
          <w:lang w:val="el-GR"/>
        </w:rPr>
      </w:pPr>
    </w:p>
    <w:p w14:paraId="0A60EB2B" w14:textId="77777777" w:rsidR="00E35696" w:rsidRDefault="00E35696" w:rsidP="00627467">
      <w:pPr>
        <w:spacing w:line="480" w:lineRule="auto"/>
        <w:ind w:right="107"/>
        <w:jc w:val="both"/>
        <w:rPr>
          <w:rFonts w:ascii="Bookman Old Style" w:hAnsi="Bookman Old Style" w:cs="Arial"/>
          <w:sz w:val="26"/>
          <w:szCs w:val="26"/>
          <w:lang w:val="el-GR"/>
        </w:rPr>
      </w:pPr>
    </w:p>
    <w:p w14:paraId="74B53979" w14:textId="77777777" w:rsidR="000F1101" w:rsidRDefault="000F1101" w:rsidP="00627467">
      <w:pPr>
        <w:spacing w:line="480" w:lineRule="auto"/>
        <w:ind w:right="107"/>
        <w:jc w:val="both"/>
        <w:rPr>
          <w:rFonts w:ascii="Bookman Old Style" w:hAnsi="Bookman Old Style" w:cs="Arial"/>
          <w:sz w:val="26"/>
          <w:szCs w:val="26"/>
          <w:lang w:val="el-GR"/>
        </w:rPr>
      </w:pPr>
    </w:p>
    <w:p w14:paraId="4F123C29" w14:textId="77777777" w:rsidR="00E35696" w:rsidRPr="00627467" w:rsidRDefault="00E35696" w:rsidP="00627467">
      <w:pPr>
        <w:spacing w:line="480" w:lineRule="auto"/>
        <w:ind w:right="107"/>
        <w:jc w:val="both"/>
        <w:rPr>
          <w:rFonts w:ascii="Bookman Old Style" w:hAnsi="Bookman Old Style" w:cs="Arial"/>
          <w:sz w:val="26"/>
          <w:szCs w:val="26"/>
          <w:lang w:val="el-GR"/>
        </w:rPr>
      </w:pP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2E7CB5BA" w14:textId="4917F052" w:rsidR="004C29CA" w:rsidRPr="007A0D8E" w:rsidRDefault="004C29CA" w:rsidP="00FA46CF">
      <w:pPr>
        <w:spacing w:line="480" w:lineRule="auto"/>
        <w:ind w:left="2127"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p>
    <w:p w14:paraId="2385E16D" w14:textId="4A7A7660" w:rsidR="004C29CA" w:rsidRPr="007A0D8E" w:rsidRDefault="007A0D8E" w:rsidP="001D57B8">
      <w:pPr>
        <w:spacing w:line="480" w:lineRule="auto"/>
        <w:ind w:left="2880" w:right="-35" w:firstLine="720"/>
        <w:jc w:val="both"/>
        <w:rPr>
          <w:rFonts w:ascii="Bookman Old Style" w:hAnsi="Bookman Old Style" w:cs="Arial"/>
          <w:b/>
          <w:sz w:val="28"/>
          <w:szCs w:val="28"/>
          <w:lang w:val="el-GR"/>
        </w:rPr>
      </w:pPr>
      <w:r>
        <w:rPr>
          <w:rFonts w:ascii="Bookman Old Style" w:hAnsi="Bookman Old Style" w:cs="Arial"/>
          <w:b/>
          <w:sz w:val="28"/>
          <w:szCs w:val="28"/>
          <w:lang w:val="el-GR"/>
        </w:rPr>
        <w:t xml:space="preserve">   </w:t>
      </w:r>
      <w:r w:rsidR="00FA46CF">
        <w:rPr>
          <w:rFonts w:ascii="Bookman Old Style" w:hAnsi="Bookman Old Style" w:cs="Arial"/>
          <w:b/>
          <w:sz w:val="28"/>
          <w:szCs w:val="28"/>
          <w:lang w:val="el-GR"/>
        </w:rPr>
        <w:t xml:space="preserve">                 </w:t>
      </w:r>
      <w:r w:rsidR="004C29CA" w:rsidRPr="007A0D8E">
        <w:rPr>
          <w:rFonts w:ascii="Bookman Old Style" w:hAnsi="Bookman Old Style" w:cs="Arial"/>
          <w:b/>
          <w:sz w:val="28"/>
          <w:szCs w:val="28"/>
          <w:lang w:val="el-GR"/>
        </w:rPr>
        <w:t>Δ.</w:t>
      </w:r>
    </w:p>
    <w:p w14:paraId="6ADBD8E6" w14:textId="77777777" w:rsidR="004C29CA" w:rsidRPr="00CE5C23" w:rsidRDefault="004C29CA" w:rsidP="0000790C">
      <w:pPr>
        <w:ind w:right="-35"/>
        <w:rPr>
          <w:rFonts w:ascii="Bookman Old Style" w:hAnsi="Bookman Old Style" w:cs="Arial"/>
          <w:b/>
          <w:sz w:val="28"/>
          <w:szCs w:val="28"/>
          <w:lang w:val="en-US"/>
        </w:rPr>
      </w:pPr>
    </w:p>
    <w:p w14:paraId="0F1CDD67" w14:textId="77777777" w:rsidR="004C29CA" w:rsidRPr="007A0D8E" w:rsidRDefault="004C29CA" w:rsidP="0000790C">
      <w:pPr>
        <w:ind w:right="-35"/>
        <w:rPr>
          <w:rFonts w:ascii="Bookman Old Style" w:hAnsi="Bookman Old Style" w:cs="Arial"/>
          <w:b/>
          <w:sz w:val="28"/>
          <w:szCs w:val="28"/>
          <w:lang w:val="el-GR"/>
        </w:rPr>
      </w:pPr>
    </w:p>
    <w:sectPr w:rsidR="004C29CA" w:rsidRPr="007A0D8E" w:rsidSect="00F013FD">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7AC4" w14:textId="77777777" w:rsidR="00EE0D57" w:rsidRDefault="00EE0D57" w:rsidP="00B43113">
      <w:r>
        <w:separator/>
      </w:r>
    </w:p>
  </w:endnote>
  <w:endnote w:type="continuationSeparator" w:id="0">
    <w:p w14:paraId="0E209963" w14:textId="77777777" w:rsidR="00EE0D57" w:rsidRDefault="00EE0D57"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C5499" w14:textId="77777777" w:rsidR="00EE0D57" w:rsidRDefault="00EE0D57" w:rsidP="00B43113">
      <w:r>
        <w:separator/>
      </w:r>
    </w:p>
  </w:footnote>
  <w:footnote w:type="continuationSeparator" w:id="0">
    <w:p w14:paraId="1A65ACA8" w14:textId="77777777" w:rsidR="00EE0D57" w:rsidRDefault="00EE0D57" w:rsidP="00B43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21EEF783" w:rsidR="00CF75E4" w:rsidRDefault="00CF75E4">
    <w:pPr>
      <w:pStyle w:val="Header"/>
      <w:jc w:val="center"/>
    </w:pPr>
    <w:r>
      <w:fldChar w:fldCharType="begin"/>
    </w:r>
    <w:r>
      <w:instrText xml:space="preserve"> PAGE   \* MERGEFORMAT </w:instrText>
    </w:r>
    <w:r>
      <w:fldChar w:fldCharType="separate"/>
    </w:r>
    <w:r w:rsidR="007472CC">
      <w:rPr>
        <w:noProof/>
      </w:rPr>
      <w:t>7</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1F582B16"/>
    <w:multiLevelType w:val="hybridMultilevel"/>
    <w:tmpl w:val="22DE0F1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B1059B9"/>
    <w:multiLevelType w:val="hybridMultilevel"/>
    <w:tmpl w:val="BF522BDC"/>
    <w:lvl w:ilvl="0" w:tplc="3CE23B68">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1"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5"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9"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1"/>
  </w:num>
  <w:num w:numId="13">
    <w:abstractNumId w:val="17"/>
  </w:num>
  <w:num w:numId="14">
    <w:abstractNumId w:val="2"/>
  </w:num>
  <w:num w:numId="15">
    <w:abstractNumId w:val="9"/>
  </w:num>
  <w:num w:numId="16">
    <w:abstractNumId w:val="19"/>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37C8"/>
    <w:rsid w:val="00076727"/>
    <w:rsid w:val="00080CBF"/>
    <w:rsid w:val="00083841"/>
    <w:rsid w:val="0008462C"/>
    <w:rsid w:val="00084698"/>
    <w:rsid w:val="00085A25"/>
    <w:rsid w:val="00091BC2"/>
    <w:rsid w:val="00093424"/>
    <w:rsid w:val="0009358C"/>
    <w:rsid w:val="000A22CD"/>
    <w:rsid w:val="000A2E70"/>
    <w:rsid w:val="000A685B"/>
    <w:rsid w:val="000A7342"/>
    <w:rsid w:val="000B53F3"/>
    <w:rsid w:val="000B55AF"/>
    <w:rsid w:val="000B565F"/>
    <w:rsid w:val="000B628C"/>
    <w:rsid w:val="000C4171"/>
    <w:rsid w:val="000C432E"/>
    <w:rsid w:val="000C5E38"/>
    <w:rsid w:val="000D1294"/>
    <w:rsid w:val="000D32CD"/>
    <w:rsid w:val="000D512B"/>
    <w:rsid w:val="000D5E56"/>
    <w:rsid w:val="000D763E"/>
    <w:rsid w:val="000E360F"/>
    <w:rsid w:val="000E4325"/>
    <w:rsid w:val="000E77E5"/>
    <w:rsid w:val="000F0639"/>
    <w:rsid w:val="000F1101"/>
    <w:rsid w:val="00101DC5"/>
    <w:rsid w:val="001020C0"/>
    <w:rsid w:val="00105780"/>
    <w:rsid w:val="001070CB"/>
    <w:rsid w:val="0011210C"/>
    <w:rsid w:val="00113285"/>
    <w:rsid w:val="001133BB"/>
    <w:rsid w:val="00115F66"/>
    <w:rsid w:val="00117C36"/>
    <w:rsid w:val="00120A8A"/>
    <w:rsid w:val="00121049"/>
    <w:rsid w:val="0012137B"/>
    <w:rsid w:val="001258D3"/>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303"/>
    <w:rsid w:val="00162A0D"/>
    <w:rsid w:val="00171E30"/>
    <w:rsid w:val="001725B7"/>
    <w:rsid w:val="0017450C"/>
    <w:rsid w:val="0017483E"/>
    <w:rsid w:val="0018425D"/>
    <w:rsid w:val="00190856"/>
    <w:rsid w:val="00191456"/>
    <w:rsid w:val="00192F15"/>
    <w:rsid w:val="001950A7"/>
    <w:rsid w:val="00197D26"/>
    <w:rsid w:val="001A0D7E"/>
    <w:rsid w:val="001A1A4B"/>
    <w:rsid w:val="001A4EDE"/>
    <w:rsid w:val="001B1B75"/>
    <w:rsid w:val="001B23EF"/>
    <w:rsid w:val="001B3040"/>
    <w:rsid w:val="001B4997"/>
    <w:rsid w:val="001C3A40"/>
    <w:rsid w:val="001C5EF1"/>
    <w:rsid w:val="001D0165"/>
    <w:rsid w:val="001D53C5"/>
    <w:rsid w:val="001D57B8"/>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49F"/>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3FA9"/>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57FA"/>
    <w:rsid w:val="00497E25"/>
    <w:rsid w:val="004A086C"/>
    <w:rsid w:val="004A5FFA"/>
    <w:rsid w:val="004B3154"/>
    <w:rsid w:val="004B795E"/>
    <w:rsid w:val="004C29CA"/>
    <w:rsid w:val="004C2E05"/>
    <w:rsid w:val="004C6244"/>
    <w:rsid w:val="004D25BD"/>
    <w:rsid w:val="004D5B88"/>
    <w:rsid w:val="004D76BA"/>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13AAD"/>
    <w:rsid w:val="00624596"/>
    <w:rsid w:val="006247F0"/>
    <w:rsid w:val="00627467"/>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2CC"/>
    <w:rsid w:val="00747CB7"/>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D492F"/>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0723"/>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0D88"/>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1A7D"/>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E5C23"/>
    <w:rsid w:val="00CF46C0"/>
    <w:rsid w:val="00CF5294"/>
    <w:rsid w:val="00CF5514"/>
    <w:rsid w:val="00CF5E2E"/>
    <w:rsid w:val="00CF75E4"/>
    <w:rsid w:val="00D009E0"/>
    <w:rsid w:val="00D200B0"/>
    <w:rsid w:val="00D227FD"/>
    <w:rsid w:val="00D22A64"/>
    <w:rsid w:val="00D23897"/>
    <w:rsid w:val="00D30849"/>
    <w:rsid w:val="00D32F9D"/>
    <w:rsid w:val="00D34C72"/>
    <w:rsid w:val="00D3529A"/>
    <w:rsid w:val="00D35EA8"/>
    <w:rsid w:val="00D35F65"/>
    <w:rsid w:val="00D366B0"/>
    <w:rsid w:val="00D437C2"/>
    <w:rsid w:val="00D4581D"/>
    <w:rsid w:val="00D45CB3"/>
    <w:rsid w:val="00D46045"/>
    <w:rsid w:val="00D4778A"/>
    <w:rsid w:val="00D47FDB"/>
    <w:rsid w:val="00D50F95"/>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031F"/>
    <w:rsid w:val="00E33F98"/>
    <w:rsid w:val="00E35696"/>
    <w:rsid w:val="00E35746"/>
    <w:rsid w:val="00E41884"/>
    <w:rsid w:val="00E41F0F"/>
    <w:rsid w:val="00E4347D"/>
    <w:rsid w:val="00E43ECC"/>
    <w:rsid w:val="00E50D40"/>
    <w:rsid w:val="00E50EB3"/>
    <w:rsid w:val="00E55A0A"/>
    <w:rsid w:val="00E61587"/>
    <w:rsid w:val="00E6449D"/>
    <w:rsid w:val="00E70193"/>
    <w:rsid w:val="00E71828"/>
    <w:rsid w:val="00E728D3"/>
    <w:rsid w:val="00E76BAB"/>
    <w:rsid w:val="00E77455"/>
    <w:rsid w:val="00E81A0F"/>
    <w:rsid w:val="00E845CA"/>
    <w:rsid w:val="00E87640"/>
    <w:rsid w:val="00E92452"/>
    <w:rsid w:val="00E92549"/>
    <w:rsid w:val="00EA61A4"/>
    <w:rsid w:val="00EA655C"/>
    <w:rsid w:val="00EB04B4"/>
    <w:rsid w:val="00EB5DC6"/>
    <w:rsid w:val="00EC197A"/>
    <w:rsid w:val="00EC2763"/>
    <w:rsid w:val="00ED36A3"/>
    <w:rsid w:val="00ED548F"/>
    <w:rsid w:val="00ED5EE9"/>
    <w:rsid w:val="00EE0D57"/>
    <w:rsid w:val="00EE2726"/>
    <w:rsid w:val="00EE497D"/>
    <w:rsid w:val="00EF352D"/>
    <w:rsid w:val="00EF4076"/>
    <w:rsid w:val="00F005B8"/>
    <w:rsid w:val="00F00823"/>
    <w:rsid w:val="00F013FD"/>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95308"/>
    <w:rsid w:val="00FA0908"/>
    <w:rsid w:val="00FA11F3"/>
    <w:rsid w:val="00FA39C7"/>
    <w:rsid w:val="00FA46CF"/>
    <w:rsid w:val="00FA5F0D"/>
    <w:rsid w:val="00FC0FBF"/>
    <w:rsid w:val="00FC2B7F"/>
    <w:rsid w:val="00FC3B62"/>
    <w:rsid w:val="00FC45CC"/>
    <w:rsid w:val="00FD1705"/>
    <w:rsid w:val="00FD43F4"/>
    <w:rsid w:val="00FD6E31"/>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909579673">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13027919">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75481858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BE5B-30A7-49CC-BD77-DB951708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2024-01-15T06:08:00Z</cp:lastPrinted>
  <dcterms:created xsi:type="dcterms:W3CDTF">2024-01-25T07:37:00Z</dcterms:created>
  <dcterms:modified xsi:type="dcterms:W3CDTF">2024-01-25T07:37:00Z</dcterms:modified>
</cp:coreProperties>
</file>